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FF9CB" w14:textId="5C115C97" w:rsidR="005C630B" w:rsidRDefault="005C630B" w:rsidP="00C21A33">
      <w:pPr>
        <w:pStyle w:val="Title"/>
        <w:jc w:val="both"/>
      </w:pPr>
    </w:p>
    <w:p w14:paraId="5A2E9306" w14:textId="77777777" w:rsidR="00EF3428" w:rsidRPr="00EF3428" w:rsidRDefault="00EF3428" w:rsidP="00C21A33">
      <w:pPr>
        <w:spacing w:after="0" w:line="240" w:lineRule="auto"/>
        <w:jc w:val="both"/>
      </w:pPr>
    </w:p>
    <w:p w14:paraId="47CB2273" w14:textId="77777777" w:rsidR="008E2ADD" w:rsidRDefault="008E2ADD" w:rsidP="00C21A33">
      <w:pPr>
        <w:pStyle w:val="Title"/>
        <w:jc w:val="both"/>
      </w:pPr>
    </w:p>
    <w:p w14:paraId="56F56460" w14:textId="77777777" w:rsidR="00ED4435" w:rsidRPr="00ED4435" w:rsidRDefault="00ED4435" w:rsidP="00C21A33">
      <w:pPr>
        <w:spacing w:after="0" w:line="240" w:lineRule="auto"/>
        <w:jc w:val="both"/>
      </w:pPr>
    </w:p>
    <w:p w14:paraId="1F18A579" w14:textId="77777777" w:rsidR="004B1196" w:rsidRDefault="004B1196" w:rsidP="00C21A33">
      <w:pPr>
        <w:spacing w:after="0" w:line="240" w:lineRule="auto"/>
        <w:jc w:val="both"/>
        <w:rPr>
          <w:sz w:val="28"/>
        </w:rPr>
      </w:pPr>
      <w:r>
        <w:rPr>
          <w:sz w:val="28"/>
        </w:rPr>
        <w:t xml:space="preserve">Publication Date: </w:t>
      </w:r>
    </w:p>
    <w:p w14:paraId="0F90CA55" w14:textId="77777777" w:rsidR="004B1196" w:rsidRDefault="004B1196" w:rsidP="00C21A33">
      <w:pPr>
        <w:spacing w:after="0" w:line="240" w:lineRule="auto"/>
        <w:jc w:val="both"/>
        <w:rPr>
          <w:sz w:val="28"/>
        </w:rPr>
      </w:pPr>
      <w:r>
        <w:rPr>
          <w:sz w:val="28"/>
        </w:rPr>
        <w:t xml:space="preserve">Effective Date: </w:t>
      </w:r>
    </w:p>
    <w:p w14:paraId="40AEDB45" w14:textId="77777777" w:rsidR="004B1196" w:rsidRDefault="004B1196" w:rsidP="00C21A33">
      <w:pPr>
        <w:spacing w:after="0" w:line="240" w:lineRule="auto"/>
        <w:jc w:val="both"/>
        <w:rPr>
          <w:sz w:val="28"/>
        </w:rPr>
      </w:pPr>
    </w:p>
    <w:p w14:paraId="7AF3AA26" w14:textId="77777777" w:rsidR="00B913C7" w:rsidRDefault="00B913C7" w:rsidP="00C21A33">
      <w:pPr>
        <w:spacing w:after="0" w:line="240" w:lineRule="auto"/>
        <w:jc w:val="both"/>
        <w:rPr>
          <w:sz w:val="40"/>
        </w:rPr>
      </w:pPr>
    </w:p>
    <w:p w14:paraId="0F1ECF58" w14:textId="48443009" w:rsidR="008E2ADD" w:rsidRPr="007548E7" w:rsidRDefault="004B1196" w:rsidP="00C21A33">
      <w:pPr>
        <w:spacing w:after="0" w:line="240" w:lineRule="auto"/>
        <w:jc w:val="both"/>
        <w:rPr>
          <w:sz w:val="40"/>
        </w:rPr>
      </w:pPr>
      <w:r w:rsidRPr="007548E7">
        <w:rPr>
          <w:sz w:val="40"/>
        </w:rPr>
        <w:t xml:space="preserve">Conflict-Free Smelter Program (CFSP) </w:t>
      </w:r>
      <w:r w:rsidR="00ED4435" w:rsidRPr="007548E7">
        <w:rPr>
          <w:sz w:val="40"/>
        </w:rPr>
        <w:t>Audit Protocol for Tin</w:t>
      </w:r>
      <w:r w:rsidR="00076704" w:rsidRPr="007548E7">
        <w:rPr>
          <w:sz w:val="40"/>
        </w:rPr>
        <w:t xml:space="preserve"> </w:t>
      </w:r>
      <w:r w:rsidR="00052521" w:rsidRPr="007548E7">
        <w:rPr>
          <w:sz w:val="40"/>
        </w:rPr>
        <w:t>and Tantalum</w:t>
      </w:r>
    </w:p>
    <w:p w14:paraId="2C051E50" w14:textId="77777777" w:rsidR="00ED4435" w:rsidRDefault="00ED4435" w:rsidP="00C21A33">
      <w:pPr>
        <w:spacing w:after="0" w:line="240" w:lineRule="auto"/>
        <w:jc w:val="both"/>
      </w:pPr>
    </w:p>
    <w:p w14:paraId="5B68B781" w14:textId="77777777" w:rsidR="004B1196" w:rsidRDefault="004B1196" w:rsidP="00C21A33">
      <w:pPr>
        <w:spacing w:after="0" w:line="240" w:lineRule="auto"/>
        <w:jc w:val="both"/>
      </w:pPr>
    </w:p>
    <w:p w14:paraId="5B54C4E6" w14:textId="77777777" w:rsidR="00ED4435" w:rsidRDefault="00ED4435" w:rsidP="00C21A33">
      <w:pPr>
        <w:spacing w:after="0" w:line="240" w:lineRule="auto"/>
        <w:jc w:val="both"/>
      </w:pPr>
    </w:p>
    <w:p w14:paraId="5E12A11E" w14:textId="77777777" w:rsidR="00ED4435" w:rsidRDefault="00ED4435" w:rsidP="00C21A33">
      <w:pPr>
        <w:spacing w:after="0" w:line="240" w:lineRule="auto"/>
        <w:jc w:val="both"/>
      </w:pPr>
      <w:r>
        <w:br w:type="page"/>
      </w:r>
    </w:p>
    <w:sdt>
      <w:sdtPr>
        <w:rPr>
          <w:rFonts w:asciiTheme="minorHAnsi" w:eastAsiaTheme="minorEastAsia" w:hAnsiTheme="minorHAnsi" w:cstheme="minorBidi"/>
          <w:b w:val="0"/>
          <w:bCs w:val="0"/>
          <w:caps w:val="0"/>
        </w:rPr>
        <w:id w:val="-1227602216"/>
        <w:docPartObj>
          <w:docPartGallery w:val="Table of Contents"/>
          <w:docPartUnique/>
        </w:docPartObj>
      </w:sdtPr>
      <w:sdtEndPr>
        <w:rPr>
          <w:noProof/>
        </w:rPr>
      </w:sdtEndPr>
      <w:sdtContent>
        <w:p w14:paraId="0BBBD584" w14:textId="77777777" w:rsidR="00ED4435" w:rsidRDefault="00ED4435" w:rsidP="00C21A33">
          <w:pPr>
            <w:pStyle w:val="TOCHeading"/>
            <w:numPr>
              <w:ilvl w:val="0"/>
              <w:numId w:val="0"/>
            </w:numPr>
            <w:jc w:val="both"/>
          </w:pPr>
          <w:r>
            <w:t>Table of Contents</w:t>
          </w:r>
        </w:p>
        <w:p w14:paraId="347BA576" w14:textId="77777777" w:rsidR="00E9500D" w:rsidRDefault="00ED4435">
          <w:pPr>
            <w:pStyle w:val="TOC1"/>
            <w:tabs>
              <w:tab w:val="left" w:pos="440"/>
              <w:tab w:val="right" w:leader="dot" w:pos="9350"/>
            </w:tabs>
            <w:rPr>
              <w:noProof/>
              <w:lang w:eastAsia="en-US"/>
            </w:rPr>
          </w:pPr>
          <w:r>
            <w:fldChar w:fldCharType="begin"/>
          </w:r>
          <w:r>
            <w:instrText xml:space="preserve"> TOC \o "1-3" \h \z \u </w:instrText>
          </w:r>
          <w:r>
            <w:fldChar w:fldCharType="separate"/>
          </w:r>
          <w:hyperlink w:anchor="_Toc450308510" w:history="1">
            <w:r w:rsidR="00E9500D" w:rsidRPr="00F2209B">
              <w:rPr>
                <w:rStyle w:val="Hyperlink"/>
                <w:noProof/>
              </w:rPr>
              <w:t>I.</w:t>
            </w:r>
            <w:r w:rsidR="00E9500D">
              <w:rPr>
                <w:noProof/>
                <w:lang w:eastAsia="en-US"/>
              </w:rPr>
              <w:tab/>
            </w:r>
            <w:r w:rsidR="00E9500D" w:rsidRPr="00F2209B">
              <w:rPr>
                <w:rStyle w:val="Hyperlink"/>
                <w:noProof/>
              </w:rPr>
              <w:t>Introduction</w:t>
            </w:r>
            <w:r w:rsidR="00E9500D">
              <w:rPr>
                <w:noProof/>
                <w:webHidden/>
              </w:rPr>
              <w:tab/>
            </w:r>
            <w:r w:rsidR="00E9500D">
              <w:rPr>
                <w:noProof/>
                <w:webHidden/>
              </w:rPr>
              <w:fldChar w:fldCharType="begin"/>
            </w:r>
            <w:r w:rsidR="00E9500D">
              <w:rPr>
                <w:noProof/>
                <w:webHidden/>
              </w:rPr>
              <w:instrText xml:space="preserve"> PAGEREF _Toc450308510 \h </w:instrText>
            </w:r>
            <w:r w:rsidR="00E9500D">
              <w:rPr>
                <w:noProof/>
                <w:webHidden/>
              </w:rPr>
            </w:r>
            <w:r w:rsidR="00E9500D">
              <w:rPr>
                <w:noProof/>
                <w:webHidden/>
              </w:rPr>
              <w:fldChar w:fldCharType="separate"/>
            </w:r>
            <w:r w:rsidR="00E9500D">
              <w:rPr>
                <w:noProof/>
                <w:webHidden/>
              </w:rPr>
              <w:t>4</w:t>
            </w:r>
            <w:r w:rsidR="00E9500D">
              <w:rPr>
                <w:noProof/>
                <w:webHidden/>
              </w:rPr>
              <w:fldChar w:fldCharType="end"/>
            </w:r>
          </w:hyperlink>
        </w:p>
        <w:p w14:paraId="06877045" w14:textId="77777777" w:rsidR="00E9500D" w:rsidRDefault="007817B3">
          <w:pPr>
            <w:pStyle w:val="TOC1"/>
            <w:tabs>
              <w:tab w:val="left" w:pos="440"/>
              <w:tab w:val="right" w:leader="dot" w:pos="9350"/>
            </w:tabs>
            <w:rPr>
              <w:noProof/>
              <w:lang w:eastAsia="en-US"/>
            </w:rPr>
          </w:pPr>
          <w:hyperlink w:anchor="_Toc450308511" w:history="1">
            <w:r w:rsidR="00E9500D" w:rsidRPr="00F2209B">
              <w:rPr>
                <w:rStyle w:val="Hyperlink"/>
                <w:noProof/>
              </w:rPr>
              <w:t>II.</w:t>
            </w:r>
            <w:r w:rsidR="00E9500D">
              <w:rPr>
                <w:noProof/>
                <w:lang w:eastAsia="en-US"/>
              </w:rPr>
              <w:tab/>
            </w:r>
            <w:r w:rsidR="00E9500D" w:rsidRPr="00F2209B">
              <w:rPr>
                <w:rStyle w:val="Hyperlink"/>
                <w:noProof/>
              </w:rPr>
              <w:t>Cross-Recognition</w:t>
            </w:r>
            <w:r w:rsidR="00E9500D">
              <w:rPr>
                <w:noProof/>
                <w:webHidden/>
              </w:rPr>
              <w:tab/>
            </w:r>
            <w:r w:rsidR="00E9500D">
              <w:rPr>
                <w:noProof/>
                <w:webHidden/>
              </w:rPr>
              <w:fldChar w:fldCharType="begin"/>
            </w:r>
            <w:r w:rsidR="00E9500D">
              <w:rPr>
                <w:noProof/>
                <w:webHidden/>
              </w:rPr>
              <w:instrText xml:space="preserve"> PAGEREF _Toc450308511 \h </w:instrText>
            </w:r>
            <w:r w:rsidR="00E9500D">
              <w:rPr>
                <w:noProof/>
                <w:webHidden/>
              </w:rPr>
            </w:r>
            <w:r w:rsidR="00E9500D">
              <w:rPr>
                <w:noProof/>
                <w:webHidden/>
              </w:rPr>
              <w:fldChar w:fldCharType="separate"/>
            </w:r>
            <w:r w:rsidR="00E9500D">
              <w:rPr>
                <w:noProof/>
                <w:webHidden/>
              </w:rPr>
              <w:t>6</w:t>
            </w:r>
            <w:r w:rsidR="00E9500D">
              <w:rPr>
                <w:noProof/>
                <w:webHidden/>
              </w:rPr>
              <w:fldChar w:fldCharType="end"/>
            </w:r>
          </w:hyperlink>
        </w:p>
        <w:p w14:paraId="14EAB6B9" w14:textId="77777777" w:rsidR="00E9500D" w:rsidRDefault="007817B3">
          <w:pPr>
            <w:pStyle w:val="TOC1"/>
            <w:tabs>
              <w:tab w:val="left" w:pos="660"/>
              <w:tab w:val="right" w:leader="dot" w:pos="9350"/>
            </w:tabs>
            <w:rPr>
              <w:noProof/>
              <w:lang w:eastAsia="en-US"/>
            </w:rPr>
          </w:pPr>
          <w:hyperlink w:anchor="_Toc450308512" w:history="1">
            <w:r w:rsidR="00E9500D" w:rsidRPr="00F2209B">
              <w:rPr>
                <w:rStyle w:val="Hyperlink"/>
                <w:noProof/>
              </w:rPr>
              <w:t>III.</w:t>
            </w:r>
            <w:r w:rsidR="00E9500D">
              <w:rPr>
                <w:noProof/>
                <w:lang w:eastAsia="en-US"/>
              </w:rPr>
              <w:tab/>
            </w:r>
            <w:r w:rsidR="00E9500D" w:rsidRPr="00F2209B">
              <w:rPr>
                <w:rStyle w:val="Hyperlink"/>
                <w:noProof/>
              </w:rPr>
              <w:t>Application</w:t>
            </w:r>
            <w:r w:rsidR="00E9500D">
              <w:rPr>
                <w:noProof/>
                <w:webHidden/>
              </w:rPr>
              <w:tab/>
            </w:r>
            <w:r w:rsidR="00E9500D">
              <w:rPr>
                <w:noProof/>
                <w:webHidden/>
              </w:rPr>
              <w:fldChar w:fldCharType="begin"/>
            </w:r>
            <w:r w:rsidR="00E9500D">
              <w:rPr>
                <w:noProof/>
                <w:webHidden/>
              </w:rPr>
              <w:instrText xml:space="preserve"> PAGEREF _Toc450308512 \h </w:instrText>
            </w:r>
            <w:r w:rsidR="00E9500D">
              <w:rPr>
                <w:noProof/>
                <w:webHidden/>
              </w:rPr>
            </w:r>
            <w:r w:rsidR="00E9500D">
              <w:rPr>
                <w:noProof/>
                <w:webHidden/>
              </w:rPr>
              <w:fldChar w:fldCharType="separate"/>
            </w:r>
            <w:r w:rsidR="00E9500D">
              <w:rPr>
                <w:noProof/>
                <w:webHidden/>
              </w:rPr>
              <w:t>6</w:t>
            </w:r>
            <w:r w:rsidR="00E9500D">
              <w:rPr>
                <w:noProof/>
                <w:webHidden/>
              </w:rPr>
              <w:fldChar w:fldCharType="end"/>
            </w:r>
          </w:hyperlink>
        </w:p>
        <w:p w14:paraId="0B709EC4" w14:textId="77777777" w:rsidR="00E9500D" w:rsidRDefault="007817B3">
          <w:pPr>
            <w:pStyle w:val="TOC1"/>
            <w:tabs>
              <w:tab w:val="left" w:pos="660"/>
              <w:tab w:val="right" w:leader="dot" w:pos="9350"/>
            </w:tabs>
            <w:rPr>
              <w:noProof/>
              <w:lang w:eastAsia="en-US"/>
            </w:rPr>
          </w:pPr>
          <w:hyperlink w:anchor="_Toc450308513" w:history="1">
            <w:r w:rsidR="00E9500D" w:rsidRPr="00F2209B">
              <w:rPr>
                <w:rStyle w:val="Hyperlink"/>
                <w:noProof/>
              </w:rPr>
              <w:t>IV.</w:t>
            </w:r>
            <w:r w:rsidR="00E9500D">
              <w:rPr>
                <w:noProof/>
                <w:lang w:eastAsia="en-US"/>
              </w:rPr>
              <w:tab/>
            </w:r>
            <w:r w:rsidR="00E9500D" w:rsidRPr="00F2209B">
              <w:rPr>
                <w:rStyle w:val="Hyperlink"/>
                <w:noProof/>
              </w:rPr>
              <w:t>Disclaimers</w:t>
            </w:r>
            <w:r w:rsidR="00E9500D">
              <w:rPr>
                <w:noProof/>
                <w:webHidden/>
              </w:rPr>
              <w:tab/>
            </w:r>
            <w:r w:rsidR="00E9500D">
              <w:rPr>
                <w:noProof/>
                <w:webHidden/>
              </w:rPr>
              <w:fldChar w:fldCharType="begin"/>
            </w:r>
            <w:r w:rsidR="00E9500D">
              <w:rPr>
                <w:noProof/>
                <w:webHidden/>
              </w:rPr>
              <w:instrText xml:space="preserve"> PAGEREF _Toc450308513 \h </w:instrText>
            </w:r>
            <w:r w:rsidR="00E9500D">
              <w:rPr>
                <w:noProof/>
                <w:webHidden/>
              </w:rPr>
            </w:r>
            <w:r w:rsidR="00E9500D">
              <w:rPr>
                <w:noProof/>
                <w:webHidden/>
              </w:rPr>
              <w:fldChar w:fldCharType="separate"/>
            </w:r>
            <w:r w:rsidR="00E9500D">
              <w:rPr>
                <w:noProof/>
                <w:webHidden/>
              </w:rPr>
              <w:t>6</w:t>
            </w:r>
            <w:r w:rsidR="00E9500D">
              <w:rPr>
                <w:noProof/>
                <w:webHidden/>
              </w:rPr>
              <w:fldChar w:fldCharType="end"/>
            </w:r>
          </w:hyperlink>
        </w:p>
        <w:p w14:paraId="7A878A95" w14:textId="77777777" w:rsidR="00E9500D" w:rsidRDefault="007817B3">
          <w:pPr>
            <w:pStyle w:val="TOC1"/>
            <w:tabs>
              <w:tab w:val="left" w:pos="440"/>
              <w:tab w:val="right" w:leader="dot" w:pos="9350"/>
            </w:tabs>
            <w:rPr>
              <w:noProof/>
              <w:lang w:eastAsia="en-US"/>
            </w:rPr>
          </w:pPr>
          <w:hyperlink w:anchor="_Toc450308514" w:history="1">
            <w:r w:rsidR="00E9500D" w:rsidRPr="00F2209B">
              <w:rPr>
                <w:rStyle w:val="Hyperlink"/>
                <w:noProof/>
              </w:rPr>
              <w:t>V.</w:t>
            </w:r>
            <w:r w:rsidR="00E9500D">
              <w:rPr>
                <w:noProof/>
                <w:lang w:eastAsia="en-US"/>
              </w:rPr>
              <w:tab/>
            </w:r>
            <w:r w:rsidR="00E9500D" w:rsidRPr="00F2209B">
              <w:rPr>
                <w:rStyle w:val="Hyperlink"/>
                <w:noProof/>
              </w:rPr>
              <w:t>Confidentiality and Third Party Documentation</w:t>
            </w:r>
            <w:r w:rsidR="00E9500D">
              <w:rPr>
                <w:noProof/>
                <w:webHidden/>
              </w:rPr>
              <w:tab/>
            </w:r>
            <w:r w:rsidR="00E9500D">
              <w:rPr>
                <w:noProof/>
                <w:webHidden/>
              </w:rPr>
              <w:fldChar w:fldCharType="begin"/>
            </w:r>
            <w:r w:rsidR="00E9500D">
              <w:rPr>
                <w:noProof/>
                <w:webHidden/>
              </w:rPr>
              <w:instrText xml:space="preserve"> PAGEREF _Toc450308514 \h </w:instrText>
            </w:r>
            <w:r w:rsidR="00E9500D">
              <w:rPr>
                <w:noProof/>
                <w:webHidden/>
              </w:rPr>
            </w:r>
            <w:r w:rsidR="00E9500D">
              <w:rPr>
                <w:noProof/>
                <w:webHidden/>
              </w:rPr>
              <w:fldChar w:fldCharType="separate"/>
            </w:r>
            <w:r w:rsidR="00E9500D">
              <w:rPr>
                <w:noProof/>
                <w:webHidden/>
              </w:rPr>
              <w:t>7</w:t>
            </w:r>
            <w:r w:rsidR="00E9500D">
              <w:rPr>
                <w:noProof/>
                <w:webHidden/>
              </w:rPr>
              <w:fldChar w:fldCharType="end"/>
            </w:r>
          </w:hyperlink>
        </w:p>
        <w:p w14:paraId="3CDC7DF9" w14:textId="77777777" w:rsidR="00E9500D" w:rsidRDefault="007817B3">
          <w:pPr>
            <w:pStyle w:val="TOC1"/>
            <w:tabs>
              <w:tab w:val="left" w:pos="660"/>
              <w:tab w:val="right" w:leader="dot" w:pos="9350"/>
            </w:tabs>
            <w:rPr>
              <w:noProof/>
              <w:lang w:eastAsia="en-US"/>
            </w:rPr>
          </w:pPr>
          <w:hyperlink w:anchor="_Toc450308515" w:history="1">
            <w:r w:rsidR="00E9500D" w:rsidRPr="00F2209B">
              <w:rPr>
                <w:rStyle w:val="Hyperlink"/>
                <w:noProof/>
              </w:rPr>
              <w:t>VI.</w:t>
            </w:r>
            <w:r w:rsidR="00E9500D">
              <w:rPr>
                <w:noProof/>
                <w:lang w:eastAsia="en-US"/>
              </w:rPr>
              <w:tab/>
            </w:r>
            <w:r w:rsidR="00E9500D" w:rsidRPr="00F2209B">
              <w:rPr>
                <w:rStyle w:val="Hyperlink"/>
                <w:noProof/>
              </w:rPr>
              <w:t>Audit Scope</w:t>
            </w:r>
            <w:r w:rsidR="00E9500D">
              <w:rPr>
                <w:noProof/>
                <w:webHidden/>
              </w:rPr>
              <w:tab/>
            </w:r>
            <w:r w:rsidR="00E9500D">
              <w:rPr>
                <w:noProof/>
                <w:webHidden/>
              </w:rPr>
              <w:fldChar w:fldCharType="begin"/>
            </w:r>
            <w:r w:rsidR="00E9500D">
              <w:rPr>
                <w:noProof/>
                <w:webHidden/>
              </w:rPr>
              <w:instrText xml:space="preserve"> PAGEREF _Toc450308515 \h </w:instrText>
            </w:r>
            <w:r w:rsidR="00E9500D">
              <w:rPr>
                <w:noProof/>
                <w:webHidden/>
              </w:rPr>
            </w:r>
            <w:r w:rsidR="00E9500D">
              <w:rPr>
                <w:noProof/>
                <w:webHidden/>
              </w:rPr>
              <w:fldChar w:fldCharType="separate"/>
            </w:r>
            <w:r w:rsidR="00E9500D">
              <w:rPr>
                <w:noProof/>
                <w:webHidden/>
              </w:rPr>
              <w:t>7</w:t>
            </w:r>
            <w:r w:rsidR="00E9500D">
              <w:rPr>
                <w:noProof/>
                <w:webHidden/>
              </w:rPr>
              <w:fldChar w:fldCharType="end"/>
            </w:r>
          </w:hyperlink>
        </w:p>
        <w:p w14:paraId="71D99F6F" w14:textId="77777777" w:rsidR="00E9500D" w:rsidRDefault="007817B3">
          <w:pPr>
            <w:pStyle w:val="TOC2"/>
            <w:tabs>
              <w:tab w:val="left" w:pos="660"/>
              <w:tab w:val="right" w:leader="dot" w:pos="9350"/>
            </w:tabs>
            <w:rPr>
              <w:noProof/>
              <w:lang w:eastAsia="en-US"/>
            </w:rPr>
          </w:pPr>
          <w:hyperlink w:anchor="_Toc450308516" w:history="1">
            <w:r w:rsidR="00E9500D" w:rsidRPr="00F2209B">
              <w:rPr>
                <w:rStyle w:val="Hyperlink"/>
                <w:noProof/>
              </w:rPr>
              <w:t>A.</w:t>
            </w:r>
            <w:r w:rsidR="00E9500D">
              <w:rPr>
                <w:noProof/>
                <w:lang w:eastAsia="en-US"/>
              </w:rPr>
              <w:tab/>
            </w:r>
            <w:r w:rsidR="00E9500D" w:rsidRPr="00F2209B">
              <w:rPr>
                <w:rStyle w:val="Hyperlink"/>
                <w:noProof/>
              </w:rPr>
              <w:t>Companies within the scope of the CFSP audit</w:t>
            </w:r>
            <w:r w:rsidR="00E9500D">
              <w:rPr>
                <w:noProof/>
                <w:webHidden/>
              </w:rPr>
              <w:tab/>
            </w:r>
            <w:r w:rsidR="00E9500D">
              <w:rPr>
                <w:noProof/>
                <w:webHidden/>
              </w:rPr>
              <w:fldChar w:fldCharType="begin"/>
            </w:r>
            <w:r w:rsidR="00E9500D">
              <w:rPr>
                <w:noProof/>
                <w:webHidden/>
              </w:rPr>
              <w:instrText xml:space="preserve"> PAGEREF _Toc450308516 \h </w:instrText>
            </w:r>
            <w:r w:rsidR="00E9500D">
              <w:rPr>
                <w:noProof/>
                <w:webHidden/>
              </w:rPr>
            </w:r>
            <w:r w:rsidR="00E9500D">
              <w:rPr>
                <w:noProof/>
                <w:webHidden/>
              </w:rPr>
              <w:fldChar w:fldCharType="separate"/>
            </w:r>
            <w:r w:rsidR="00E9500D">
              <w:rPr>
                <w:noProof/>
                <w:webHidden/>
              </w:rPr>
              <w:t>7</w:t>
            </w:r>
            <w:r w:rsidR="00E9500D">
              <w:rPr>
                <w:noProof/>
                <w:webHidden/>
              </w:rPr>
              <w:fldChar w:fldCharType="end"/>
            </w:r>
          </w:hyperlink>
        </w:p>
        <w:p w14:paraId="44C64755" w14:textId="77777777" w:rsidR="00E9500D" w:rsidRDefault="007817B3">
          <w:pPr>
            <w:pStyle w:val="TOC2"/>
            <w:tabs>
              <w:tab w:val="left" w:pos="660"/>
              <w:tab w:val="right" w:leader="dot" w:pos="9350"/>
            </w:tabs>
            <w:rPr>
              <w:noProof/>
              <w:lang w:eastAsia="en-US"/>
            </w:rPr>
          </w:pPr>
          <w:hyperlink w:anchor="_Toc450308517" w:history="1">
            <w:r w:rsidR="00E9500D" w:rsidRPr="00F2209B">
              <w:rPr>
                <w:rStyle w:val="Hyperlink"/>
                <w:noProof/>
              </w:rPr>
              <w:t>B.</w:t>
            </w:r>
            <w:r w:rsidR="00E9500D">
              <w:rPr>
                <w:noProof/>
                <w:lang w:eastAsia="en-US"/>
              </w:rPr>
              <w:tab/>
            </w:r>
            <w:r w:rsidR="00E9500D" w:rsidRPr="00F2209B">
              <w:rPr>
                <w:rStyle w:val="Hyperlink"/>
                <w:noProof/>
              </w:rPr>
              <w:t>Companies outside the scope of the CFSP audit</w:t>
            </w:r>
            <w:r w:rsidR="00E9500D">
              <w:rPr>
                <w:noProof/>
                <w:webHidden/>
              </w:rPr>
              <w:tab/>
            </w:r>
            <w:r w:rsidR="00E9500D">
              <w:rPr>
                <w:noProof/>
                <w:webHidden/>
              </w:rPr>
              <w:fldChar w:fldCharType="begin"/>
            </w:r>
            <w:r w:rsidR="00E9500D">
              <w:rPr>
                <w:noProof/>
                <w:webHidden/>
              </w:rPr>
              <w:instrText xml:space="preserve"> PAGEREF _Toc450308517 \h </w:instrText>
            </w:r>
            <w:r w:rsidR="00E9500D">
              <w:rPr>
                <w:noProof/>
                <w:webHidden/>
              </w:rPr>
            </w:r>
            <w:r w:rsidR="00E9500D">
              <w:rPr>
                <w:noProof/>
                <w:webHidden/>
              </w:rPr>
              <w:fldChar w:fldCharType="separate"/>
            </w:r>
            <w:r w:rsidR="00E9500D">
              <w:rPr>
                <w:noProof/>
                <w:webHidden/>
              </w:rPr>
              <w:t>8</w:t>
            </w:r>
            <w:r w:rsidR="00E9500D">
              <w:rPr>
                <w:noProof/>
                <w:webHidden/>
              </w:rPr>
              <w:fldChar w:fldCharType="end"/>
            </w:r>
          </w:hyperlink>
        </w:p>
        <w:p w14:paraId="05AB51D6" w14:textId="77777777" w:rsidR="00E9500D" w:rsidRDefault="007817B3">
          <w:pPr>
            <w:pStyle w:val="TOC2"/>
            <w:tabs>
              <w:tab w:val="left" w:pos="660"/>
              <w:tab w:val="right" w:leader="dot" w:pos="9350"/>
            </w:tabs>
            <w:rPr>
              <w:noProof/>
              <w:lang w:eastAsia="en-US"/>
            </w:rPr>
          </w:pPr>
          <w:hyperlink w:anchor="_Toc450308518" w:history="1">
            <w:r w:rsidR="00E9500D" w:rsidRPr="00F2209B">
              <w:rPr>
                <w:rStyle w:val="Hyperlink"/>
                <w:noProof/>
              </w:rPr>
              <w:t>C.</w:t>
            </w:r>
            <w:r w:rsidR="00E9500D">
              <w:rPr>
                <w:noProof/>
                <w:lang w:eastAsia="en-US"/>
              </w:rPr>
              <w:tab/>
            </w:r>
            <w:r w:rsidR="00E9500D" w:rsidRPr="00F2209B">
              <w:rPr>
                <w:rStyle w:val="Hyperlink"/>
                <w:noProof/>
              </w:rPr>
              <w:t>Materials in scope</w:t>
            </w:r>
            <w:r w:rsidR="00E9500D">
              <w:rPr>
                <w:noProof/>
                <w:webHidden/>
              </w:rPr>
              <w:tab/>
            </w:r>
            <w:r w:rsidR="00E9500D">
              <w:rPr>
                <w:noProof/>
                <w:webHidden/>
              </w:rPr>
              <w:fldChar w:fldCharType="begin"/>
            </w:r>
            <w:r w:rsidR="00E9500D">
              <w:rPr>
                <w:noProof/>
                <w:webHidden/>
              </w:rPr>
              <w:instrText xml:space="preserve"> PAGEREF _Toc450308518 \h </w:instrText>
            </w:r>
            <w:r w:rsidR="00E9500D">
              <w:rPr>
                <w:noProof/>
                <w:webHidden/>
              </w:rPr>
            </w:r>
            <w:r w:rsidR="00E9500D">
              <w:rPr>
                <w:noProof/>
                <w:webHidden/>
              </w:rPr>
              <w:fldChar w:fldCharType="separate"/>
            </w:r>
            <w:r w:rsidR="00E9500D">
              <w:rPr>
                <w:noProof/>
                <w:webHidden/>
              </w:rPr>
              <w:t>9</w:t>
            </w:r>
            <w:r w:rsidR="00E9500D">
              <w:rPr>
                <w:noProof/>
                <w:webHidden/>
              </w:rPr>
              <w:fldChar w:fldCharType="end"/>
            </w:r>
          </w:hyperlink>
        </w:p>
        <w:p w14:paraId="186F3CEF" w14:textId="77777777" w:rsidR="00E9500D" w:rsidRDefault="007817B3">
          <w:pPr>
            <w:pStyle w:val="TOC2"/>
            <w:tabs>
              <w:tab w:val="left" w:pos="660"/>
              <w:tab w:val="right" w:leader="dot" w:pos="9350"/>
            </w:tabs>
            <w:rPr>
              <w:noProof/>
              <w:lang w:eastAsia="en-US"/>
            </w:rPr>
          </w:pPr>
          <w:hyperlink w:anchor="_Toc450308519" w:history="1">
            <w:r w:rsidR="00E9500D" w:rsidRPr="00F2209B">
              <w:rPr>
                <w:rStyle w:val="Hyperlink"/>
                <w:noProof/>
              </w:rPr>
              <w:t>D.</w:t>
            </w:r>
            <w:r w:rsidR="00E9500D">
              <w:rPr>
                <w:noProof/>
                <w:lang w:eastAsia="en-US"/>
              </w:rPr>
              <w:tab/>
            </w:r>
            <w:r w:rsidR="00E9500D" w:rsidRPr="00F2209B">
              <w:rPr>
                <w:rStyle w:val="Hyperlink"/>
                <w:noProof/>
              </w:rPr>
              <w:t>Audit period</w:t>
            </w:r>
            <w:r w:rsidR="00E9500D">
              <w:rPr>
                <w:noProof/>
                <w:webHidden/>
              </w:rPr>
              <w:tab/>
            </w:r>
            <w:r w:rsidR="00E9500D">
              <w:rPr>
                <w:noProof/>
                <w:webHidden/>
              </w:rPr>
              <w:fldChar w:fldCharType="begin"/>
            </w:r>
            <w:r w:rsidR="00E9500D">
              <w:rPr>
                <w:noProof/>
                <w:webHidden/>
              </w:rPr>
              <w:instrText xml:space="preserve"> PAGEREF _Toc450308519 \h </w:instrText>
            </w:r>
            <w:r w:rsidR="00E9500D">
              <w:rPr>
                <w:noProof/>
                <w:webHidden/>
              </w:rPr>
            </w:r>
            <w:r w:rsidR="00E9500D">
              <w:rPr>
                <w:noProof/>
                <w:webHidden/>
              </w:rPr>
              <w:fldChar w:fldCharType="separate"/>
            </w:r>
            <w:r w:rsidR="00E9500D">
              <w:rPr>
                <w:noProof/>
                <w:webHidden/>
              </w:rPr>
              <w:t>9</w:t>
            </w:r>
            <w:r w:rsidR="00E9500D">
              <w:rPr>
                <w:noProof/>
                <w:webHidden/>
              </w:rPr>
              <w:fldChar w:fldCharType="end"/>
            </w:r>
          </w:hyperlink>
        </w:p>
        <w:p w14:paraId="7E816D85" w14:textId="77777777" w:rsidR="00E9500D" w:rsidRDefault="007817B3">
          <w:pPr>
            <w:pStyle w:val="TOC2"/>
            <w:tabs>
              <w:tab w:val="left" w:pos="660"/>
              <w:tab w:val="right" w:leader="dot" w:pos="9350"/>
            </w:tabs>
            <w:rPr>
              <w:noProof/>
              <w:lang w:eastAsia="en-US"/>
            </w:rPr>
          </w:pPr>
          <w:hyperlink w:anchor="_Toc450308520" w:history="1">
            <w:r w:rsidR="00E9500D" w:rsidRPr="00F2209B">
              <w:rPr>
                <w:rStyle w:val="Hyperlink"/>
                <w:noProof/>
              </w:rPr>
              <w:t>E.</w:t>
            </w:r>
            <w:r w:rsidR="00E9500D">
              <w:rPr>
                <w:noProof/>
                <w:lang w:eastAsia="en-US"/>
              </w:rPr>
              <w:tab/>
            </w:r>
            <w:r w:rsidR="00E9500D" w:rsidRPr="00F2209B">
              <w:rPr>
                <w:rStyle w:val="Hyperlink"/>
                <w:noProof/>
              </w:rPr>
              <w:t>Start-up arrangements</w:t>
            </w:r>
            <w:r w:rsidR="00E9500D">
              <w:rPr>
                <w:noProof/>
                <w:webHidden/>
              </w:rPr>
              <w:tab/>
            </w:r>
            <w:r w:rsidR="00E9500D">
              <w:rPr>
                <w:noProof/>
                <w:webHidden/>
              </w:rPr>
              <w:fldChar w:fldCharType="begin"/>
            </w:r>
            <w:r w:rsidR="00E9500D">
              <w:rPr>
                <w:noProof/>
                <w:webHidden/>
              </w:rPr>
              <w:instrText xml:space="preserve"> PAGEREF _Toc450308520 \h </w:instrText>
            </w:r>
            <w:r w:rsidR="00E9500D">
              <w:rPr>
                <w:noProof/>
                <w:webHidden/>
              </w:rPr>
            </w:r>
            <w:r w:rsidR="00E9500D">
              <w:rPr>
                <w:noProof/>
                <w:webHidden/>
              </w:rPr>
              <w:fldChar w:fldCharType="separate"/>
            </w:r>
            <w:r w:rsidR="00E9500D">
              <w:rPr>
                <w:noProof/>
                <w:webHidden/>
              </w:rPr>
              <w:t>9</w:t>
            </w:r>
            <w:r w:rsidR="00E9500D">
              <w:rPr>
                <w:noProof/>
                <w:webHidden/>
              </w:rPr>
              <w:fldChar w:fldCharType="end"/>
            </w:r>
          </w:hyperlink>
        </w:p>
        <w:p w14:paraId="46537935" w14:textId="77777777" w:rsidR="00E9500D" w:rsidRDefault="007817B3">
          <w:pPr>
            <w:pStyle w:val="TOC1"/>
            <w:tabs>
              <w:tab w:val="left" w:pos="660"/>
              <w:tab w:val="right" w:leader="dot" w:pos="9350"/>
            </w:tabs>
            <w:rPr>
              <w:noProof/>
              <w:lang w:eastAsia="en-US"/>
            </w:rPr>
          </w:pPr>
          <w:hyperlink w:anchor="_Toc450308521" w:history="1">
            <w:r w:rsidR="00E9500D" w:rsidRPr="00F2209B">
              <w:rPr>
                <w:rStyle w:val="Hyperlink"/>
                <w:noProof/>
              </w:rPr>
              <w:t>VII.</w:t>
            </w:r>
            <w:r w:rsidR="00E9500D">
              <w:rPr>
                <w:noProof/>
                <w:lang w:eastAsia="en-US"/>
              </w:rPr>
              <w:tab/>
            </w:r>
            <w:r w:rsidR="00E9500D" w:rsidRPr="00F2209B">
              <w:rPr>
                <w:rStyle w:val="Hyperlink"/>
                <w:noProof/>
              </w:rPr>
              <w:t>Origin Determination</w:t>
            </w:r>
            <w:r w:rsidR="00E9500D">
              <w:rPr>
                <w:noProof/>
                <w:webHidden/>
              </w:rPr>
              <w:tab/>
            </w:r>
            <w:r w:rsidR="00E9500D">
              <w:rPr>
                <w:noProof/>
                <w:webHidden/>
              </w:rPr>
              <w:fldChar w:fldCharType="begin"/>
            </w:r>
            <w:r w:rsidR="00E9500D">
              <w:rPr>
                <w:noProof/>
                <w:webHidden/>
              </w:rPr>
              <w:instrText xml:space="preserve"> PAGEREF _Toc450308521 \h </w:instrText>
            </w:r>
            <w:r w:rsidR="00E9500D">
              <w:rPr>
                <w:noProof/>
                <w:webHidden/>
              </w:rPr>
            </w:r>
            <w:r w:rsidR="00E9500D">
              <w:rPr>
                <w:noProof/>
                <w:webHidden/>
              </w:rPr>
              <w:fldChar w:fldCharType="separate"/>
            </w:r>
            <w:r w:rsidR="00E9500D">
              <w:rPr>
                <w:noProof/>
                <w:webHidden/>
              </w:rPr>
              <w:t>10</w:t>
            </w:r>
            <w:r w:rsidR="00E9500D">
              <w:rPr>
                <w:noProof/>
                <w:webHidden/>
              </w:rPr>
              <w:fldChar w:fldCharType="end"/>
            </w:r>
          </w:hyperlink>
        </w:p>
        <w:p w14:paraId="0B5DC3B1" w14:textId="77777777" w:rsidR="00E9500D" w:rsidRDefault="007817B3">
          <w:pPr>
            <w:pStyle w:val="TOC1"/>
            <w:tabs>
              <w:tab w:val="left" w:pos="660"/>
              <w:tab w:val="right" w:leader="dot" w:pos="9350"/>
            </w:tabs>
            <w:rPr>
              <w:noProof/>
              <w:lang w:eastAsia="en-US"/>
            </w:rPr>
          </w:pPr>
          <w:hyperlink w:anchor="_Toc450308522" w:history="1">
            <w:r w:rsidR="00E9500D" w:rsidRPr="00F2209B">
              <w:rPr>
                <w:rStyle w:val="Hyperlink"/>
                <w:noProof/>
              </w:rPr>
              <w:t>VIII.</w:t>
            </w:r>
            <w:r w:rsidR="00E9500D">
              <w:rPr>
                <w:noProof/>
                <w:lang w:eastAsia="en-US"/>
              </w:rPr>
              <w:tab/>
            </w:r>
            <w:r w:rsidR="00E9500D" w:rsidRPr="00F2209B">
              <w:rPr>
                <w:rStyle w:val="Hyperlink"/>
                <w:noProof/>
              </w:rPr>
              <w:t>CFSP Compliance Requirements</w:t>
            </w:r>
            <w:r w:rsidR="00E9500D">
              <w:rPr>
                <w:noProof/>
                <w:webHidden/>
              </w:rPr>
              <w:tab/>
            </w:r>
            <w:r w:rsidR="00E9500D">
              <w:rPr>
                <w:noProof/>
                <w:webHidden/>
              </w:rPr>
              <w:fldChar w:fldCharType="begin"/>
            </w:r>
            <w:r w:rsidR="00E9500D">
              <w:rPr>
                <w:noProof/>
                <w:webHidden/>
              </w:rPr>
              <w:instrText xml:space="preserve"> PAGEREF _Toc450308522 \h </w:instrText>
            </w:r>
            <w:r w:rsidR="00E9500D">
              <w:rPr>
                <w:noProof/>
                <w:webHidden/>
              </w:rPr>
            </w:r>
            <w:r w:rsidR="00E9500D">
              <w:rPr>
                <w:noProof/>
                <w:webHidden/>
              </w:rPr>
              <w:fldChar w:fldCharType="separate"/>
            </w:r>
            <w:r w:rsidR="00E9500D">
              <w:rPr>
                <w:noProof/>
                <w:webHidden/>
              </w:rPr>
              <w:t>11</w:t>
            </w:r>
            <w:r w:rsidR="00E9500D">
              <w:rPr>
                <w:noProof/>
                <w:webHidden/>
              </w:rPr>
              <w:fldChar w:fldCharType="end"/>
            </w:r>
          </w:hyperlink>
        </w:p>
        <w:p w14:paraId="2729242F" w14:textId="77777777" w:rsidR="00E9500D" w:rsidRDefault="007817B3">
          <w:pPr>
            <w:pStyle w:val="TOC2"/>
            <w:tabs>
              <w:tab w:val="left" w:pos="660"/>
              <w:tab w:val="right" w:leader="dot" w:pos="9350"/>
            </w:tabs>
            <w:rPr>
              <w:noProof/>
              <w:lang w:eastAsia="en-US"/>
            </w:rPr>
          </w:pPr>
          <w:hyperlink w:anchor="_Toc450308523" w:history="1">
            <w:r w:rsidR="00E9500D" w:rsidRPr="00F2209B">
              <w:rPr>
                <w:rStyle w:val="Hyperlink"/>
                <w:noProof/>
              </w:rPr>
              <w:t>A.</w:t>
            </w:r>
            <w:r w:rsidR="00E9500D">
              <w:rPr>
                <w:noProof/>
                <w:lang w:eastAsia="en-US"/>
              </w:rPr>
              <w:tab/>
            </w:r>
            <w:r w:rsidR="00E9500D" w:rsidRPr="00F2209B">
              <w:rPr>
                <w:rStyle w:val="Hyperlink"/>
                <w:noProof/>
              </w:rPr>
              <w:t>Internal Material Control Systems</w:t>
            </w:r>
            <w:r w:rsidR="00E9500D">
              <w:rPr>
                <w:noProof/>
                <w:webHidden/>
              </w:rPr>
              <w:tab/>
            </w:r>
            <w:r w:rsidR="00E9500D">
              <w:rPr>
                <w:noProof/>
                <w:webHidden/>
              </w:rPr>
              <w:fldChar w:fldCharType="begin"/>
            </w:r>
            <w:r w:rsidR="00E9500D">
              <w:rPr>
                <w:noProof/>
                <w:webHidden/>
              </w:rPr>
              <w:instrText xml:space="preserve"> PAGEREF _Toc450308523 \h </w:instrText>
            </w:r>
            <w:r w:rsidR="00E9500D">
              <w:rPr>
                <w:noProof/>
                <w:webHidden/>
              </w:rPr>
            </w:r>
            <w:r w:rsidR="00E9500D">
              <w:rPr>
                <w:noProof/>
                <w:webHidden/>
              </w:rPr>
              <w:fldChar w:fldCharType="separate"/>
            </w:r>
            <w:r w:rsidR="00E9500D">
              <w:rPr>
                <w:noProof/>
                <w:webHidden/>
              </w:rPr>
              <w:t>11</w:t>
            </w:r>
            <w:r w:rsidR="00E9500D">
              <w:rPr>
                <w:noProof/>
                <w:webHidden/>
              </w:rPr>
              <w:fldChar w:fldCharType="end"/>
            </w:r>
          </w:hyperlink>
        </w:p>
        <w:p w14:paraId="705DF277" w14:textId="77777777" w:rsidR="00E9500D" w:rsidRDefault="007817B3">
          <w:pPr>
            <w:pStyle w:val="TOC3"/>
            <w:tabs>
              <w:tab w:val="left" w:pos="880"/>
              <w:tab w:val="right" w:leader="dot" w:pos="9350"/>
            </w:tabs>
            <w:rPr>
              <w:noProof/>
              <w:lang w:eastAsia="en-US"/>
            </w:rPr>
          </w:pPr>
          <w:hyperlink w:anchor="_Toc450308524" w:history="1">
            <w:r w:rsidR="00E9500D" w:rsidRPr="00F2209B">
              <w:rPr>
                <w:rStyle w:val="Hyperlink"/>
                <w:noProof/>
              </w:rPr>
              <w:t>1.</w:t>
            </w:r>
            <w:r w:rsidR="00E9500D">
              <w:rPr>
                <w:noProof/>
                <w:lang w:eastAsia="en-US"/>
              </w:rPr>
              <w:tab/>
            </w:r>
            <w:r w:rsidR="00E9500D" w:rsidRPr="00F2209B">
              <w:rPr>
                <w:rStyle w:val="Hyperlink"/>
                <w:noProof/>
              </w:rPr>
              <w:t>Material Control Systems</w:t>
            </w:r>
            <w:r w:rsidR="00E9500D">
              <w:rPr>
                <w:noProof/>
                <w:webHidden/>
              </w:rPr>
              <w:tab/>
            </w:r>
            <w:r w:rsidR="00E9500D">
              <w:rPr>
                <w:noProof/>
                <w:webHidden/>
              </w:rPr>
              <w:fldChar w:fldCharType="begin"/>
            </w:r>
            <w:r w:rsidR="00E9500D">
              <w:rPr>
                <w:noProof/>
                <w:webHidden/>
              </w:rPr>
              <w:instrText xml:space="preserve"> PAGEREF _Toc450308524 \h </w:instrText>
            </w:r>
            <w:r w:rsidR="00E9500D">
              <w:rPr>
                <w:noProof/>
                <w:webHidden/>
              </w:rPr>
            </w:r>
            <w:r w:rsidR="00E9500D">
              <w:rPr>
                <w:noProof/>
                <w:webHidden/>
              </w:rPr>
              <w:fldChar w:fldCharType="separate"/>
            </w:r>
            <w:r w:rsidR="00E9500D">
              <w:rPr>
                <w:noProof/>
                <w:webHidden/>
              </w:rPr>
              <w:t>11</w:t>
            </w:r>
            <w:r w:rsidR="00E9500D">
              <w:rPr>
                <w:noProof/>
                <w:webHidden/>
              </w:rPr>
              <w:fldChar w:fldCharType="end"/>
            </w:r>
          </w:hyperlink>
        </w:p>
        <w:p w14:paraId="5F2BC5CD" w14:textId="77777777" w:rsidR="00E9500D" w:rsidRDefault="007817B3">
          <w:pPr>
            <w:pStyle w:val="TOC3"/>
            <w:tabs>
              <w:tab w:val="left" w:pos="880"/>
              <w:tab w:val="right" w:leader="dot" w:pos="9350"/>
            </w:tabs>
            <w:rPr>
              <w:noProof/>
              <w:lang w:eastAsia="en-US"/>
            </w:rPr>
          </w:pPr>
          <w:hyperlink w:anchor="_Toc450308525" w:history="1">
            <w:r w:rsidR="00E9500D" w:rsidRPr="00F2209B">
              <w:rPr>
                <w:rStyle w:val="Hyperlink"/>
                <w:noProof/>
              </w:rPr>
              <w:t>2.</w:t>
            </w:r>
            <w:r w:rsidR="00E9500D">
              <w:rPr>
                <w:noProof/>
                <w:lang w:eastAsia="en-US"/>
              </w:rPr>
              <w:tab/>
            </w:r>
            <w:r w:rsidR="00E9500D" w:rsidRPr="00F2209B">
              <w:rPr>
                <w:rStyle w:val="Hyperlink"/>
                <w:noProof/>
              </w:rPr>
              <w:t>Mass Balance Calculation</w:t>
            </w:r>
            <w:r w:rsidR="00E9500D">
              <w:rPr>
                <w:noProof/>
                <w:webHidden/>
              </w:rPr>
              <w:tab/>
            </w:r>
            <w:r w:rsidR="00E9500D">
              <w:rPr>
                <w:noProof/>
                <w:webHidden/>
              </w:rPr>
              <w:fldChar w:fldCharType="begin"/>
            </w:r>
            <w:r w:rsidR="00E9500D">
              <w:rPr>
                <w:noProof/>
                <w:webHidden/>
              </w:rPr>
              <w:instrText xml:space="preserve"> PAGEREF _Toc450308525 \h </w:instrText>
            </w:r>
            <w:r w:rsidR="00E9500D">
              <w:rPr>
                <w:noProof/>
                <w:webHidden/>
              </w:rPr>
            </w:r>
            <w:r w:rsidR="00E9500D">
              <w:rPr>
                <w:noProof/>
                <w:webHidden/>
              </w:rPr>
              <w:fldChar w:fldCharType="separate"/>
            </w:r>
            <w:r w:rsidR="00E9500D">
              <w:rPr>
                <w:noProof/>
                <w:webHidden/>
              </w:rPr>
              <w:t>12</w:t>
            </w:r>
            <w:r w:rsidR="00E9500D">
              <w:rPr>
                <w:noProof/>
                <w:webHidden/>
              </w:rPr>
              <w:fldChar w:fldCharType="end"/>
            </w:r>
          </w:hyperlink>
        </w:p>
        <w:p w14:paraId="2D502C01" w14:textId="77777777" w:rsidR="00E9500D" w:rsidRDefault="007817B3">
          <w:pPr>
            <w:pStyle w:val="TOC2"/>
            <w:tabs>
              <w:tab w:val="left" w:pos="660"/>
              <w:tab w:val="right" w:leader="dot" w:pos="9350"/>
            </w:tabs>
            <w:rPr>
              <w:noProof/>
              <w:lang w:eastAsia="en-US"/>
            </w:rPr>
          </w:pPr>
          <w:hyperlink w:anchor="_Toc450308526" w:history="1">
            <w:r w:rsidR="00E9500D" w:rsidRPr="00F2209B">
              <w:rPr>
                <w:rStyle w:val="Hyperlink"/>
                <w:noProof/>
              </w:rPr>
              <w:t>B.</w:t>
            </w:r>
            <w:r w:rsidR="00E9500D">
              <w:rPr>
                <w:noProof/>
                <w:lang w:eastAsia="en-US"/>
              </w:rPr>
              <w:tab/>
            </w:r>
            <w:r w:rsidR="00E9500D" w:rsidRPr="00F2209B">
              <w:rPr>
                <w:rStyle w:val="Hyperlink"/>
                <w:noProof/>
              </w:rPr>
              <w:t>Due Diligence Management Systems</w:t>
            </w:r>
            <w:r w:rsidR="00E9500D">
              <w:rPr>
                <w:noProof/>
                <w:webHidden/>
              </w:rPr>
              <w:tab/>
            </w:r>
            <w:r w:rsidR="00E9500D">
              <w:rPr>
                <w:noProof/>
                <w:webHidden/>
              </w:rPr>
              <w:fldChar w:fldCharType="begin"/>
            </w:r>
            <w:r w:rsidR="00E9500D">
              <w:rPr>
                <w:noProof/>
                <w:webHidden/>
              </w:rPr>
              <w:instrText xml:space="preserve"> PAGEREF _Toc450308526 \h </w:instrText>
            </w:r>
            <w:r w:rsidR="00E9500D">
              <w:rPr>
                <w:noProof/>
                <w:webHidden/>
              </w:rPr>
            </w:r>
            <w:r w:rsidR="00E9500D">
              <w:rPr>
                <w:noProof/>
                <w:webHidden/>
              </w:rPr>
              <w:fldChar w:fldCharType="separate"/>
            </w:r>
            <w:r w:rsidR="00E9500D">
              <w:rPr>
                <w:noProof/>
                <w:webHidden/>
              </w:rPr>
              <w:t>13</w:t>
            </w:r>
            <w:r w:rsidR="00E9500D">
              <w:rPr>
                <w:noProof/>
                <w:webHidden/>
              </w:rPr>
              <w:fldChar w:fldCharType="end"/>
            </w:r>
          </w:hyperlink>
        </w:p>
        <w:p w14:paraId="77B4F6BB" w14:textId="77777777" w:rsidR="00E9500D" w:rsidRDefault="007817B3">
          <w:pPr>
            <w:pStyle w:val="TOC3"/>
            <w:tabs>
              <w:tab w:val="left" w:pos="880"/>
              <w:tab w:val="right" w:leader="dot" w:pos="9350"/>
            </w:tabs>
            <w:rPr>
              <w:noProof/>
              <w:lang w:eastAsia="en-US"/>
            </w:rPr>
          </w:pPr>
          <w:hyperlink w:anchor="_Toc450308527" w:history="1">
            <w:r w:rsidR="00E9500D" w:rsidRPr="00F2209B">
              <w:rPr>
                <w:rStyle w:val="Hyperlink"/>
                <w:noProof/>
              </w:rPr>
              <w:t>1.</w:t>
            </w:r>
            <w:r w:rsidR="00E9500D">
              <w:rPr>
                <w:noProof/>
                <w:lang w:eastAsia="en-US"/>
              </w:rPr>
              <w:tab/>
            </w:r>
            <w:r w:rsidR="00E9500D" w:rsidRPr="00F2209B">
              <w:rPr>
                <w:rStyle w:val="Hyperlink"/>
                <w:noProof/>
              </w:rPr>
              <w:t>OECD Due Diligence Guidance: Step 1 – Strong Management Systems</w:t>
            </w:r>
            <w:r w:rsidR="00E9500D">
              <w:rPr>
                <w:noProof/>
                <w:webHidden/>
              </w:rPr>
              <w:tab/>
            </w:r>
            <w:r w:rsidR="00E9500D">
              <w:rPr>
                <w:noProof/>
                <w:webHidden/>
              </w:rPr>
              <w:fldChar w:fldCharType="begin"/>
            </w:r>
            <w:r w:rsidR="00E9500D">
              <w:rPr>
                <w:noProof/>
                <w:webHidden/>
              </w:rPr>
              <w:instrText xml:space="preserve"> PAGEREF _Toc450308527 \h </w:instrText>
            </w:r>
            <w:r w:rsidR="00E9500D">
              <w:rPr>
                <w:noProof/>
                <w:webHidden/>
              </w:rPr>
            </w:r>
            <w:r w:rsidR="00E9500D">
              <w:rPr>
                <w:noProof/>
                <w:webHidden/>
              </w:rPr>
              <w:fldChar w:fldCharType="separate"/>
            </w:r>
            <w:r w:rsidR="00E9500D">
              <w:rPr>
                <w:noProof/>
                <w:webHidden/>
              </w:rPr>
              <w:t>13</w:t>
            </w:r>
            <w:r w:rsidR="00E9500D">
              <w:rPr>
                <w:noProof/>
                <w:webHidden/>
              </w:rPr>
              <w:fldChar w:fldCharType="end"/>
            </w:r>
          </w:hyperlink>
        </w:p>
        <w:p w14:paraId="746A5200" w14:textId="77777777" w:rsidR="00E9500D" w:rsidRDefault="007817B3">
          <w:pPr>
            <w:pStyle w:val="TOC3"/>
            <w:tabs>
              <w:tab w:val="left" w:pos="880"/>
              <w:tab w:val="right" w:leader="dot" w:pos="9350"/>
            </w:tabs>
            <w:rPr>
              <w:noProof/>
              <w:lang w:eastAsia="en-US"/>
            </w:rPr>
          </w:pPr>
          <w:hyperlink w:anchor="_Toc450308528" w:history="1">
            <w:r w:rsidR="00E9500D" w:rsidRPr="00F2209B">
              <w:rPr>
                <w:rStyle w:val="Hyperlink"/>
                <w:noProof/>
              </w:rPr>
              <w:t>2.</w:t>
            </w:r>
            <w:r w:rsidR="00E9500D">
              <w:rPr>
                <w:noProof/>
                <w:lang w:eastAsia="en-US"/>
              </w:rPr>
              <w:tab/>
            </w:r>
            <w:r w:rsidR="00E9500D" w:rsidRPr="00F2209B">
              <w:rPr>
                <w:rStyle w:val="Hyperlink"/>
                <w:noProof/>
              </w:rPr>
              <w:t>OECD Due Diligence Guidance: Steps 2 and 3 – Risk Assessment and Mitigation</w:t>
            </w:r>
            <w:r w:rsidR="00E9500D">
              <w:rPr>
                <w:noProof/>
                <w:webHidden/>
              </w:rPr>
              <w:tab/>
            </w:r>
            <w:r w:rsidR="00E9500D">
              <w:rPr>
                <w:noProof/>
                <w:webHidden/>
              </w:rPr>
              <w:fldChar w:fldCharType="begin"/>
            </w:r>
            <w:r w:rsidR="00E9500D">
              <w:rPr>
                <w:noProof/>
                <w:webHidden/>
              </w:rPr>
              <w:instrText xml:space="preserve"> PAGEREF _Toc450308528 \h </w:instrText>
            </w:r>
            <w:r w:rsidR="00E9500D">
              <w:rPr>
                <w:noProof/>
                <w:webHidden/>
              </w:rPr>
            </w:r>
            <w:r w:rsidR="00E9500D">
              <w:rPr>
                <w:noProof/>
                <w:webHidden/>
              </w:rPr>
              <w:fldChar w:fldCharType="separate"/>
            </w:r>
            <w:r w:rsidR="00E9500D">
              <w:rPr>
                <w:noProof/>
                <w:webHidden/>
              </w:rPr>
              <w:t>16</w:t>
            </w:r>
            <w:r w:rsidR="00E9500D">
              <w:rPr>
                <w:noProof/>
                <w:webHidden/>
              </w:rPr>
              <w:fldChar w:fldCharType="end"/>
            </w:r>
          </w:hyperlink>
        </w:p>
        <w:p w14:paraId="2DD8C3C3" w14:textId="77777777" w:rsidR="00E9500D" w:rsidRDefault="007817B3">
          <w:pPr>
            <w:pStyle w:val="TOC3"/>
            <w:tabs>
              <w:tab w:val="left" w:pos="880"/>
              <w:tab w:val="right" w:leader="dot" w:pos="9350"/>
            </w:tabs>
            <w:rPr>
              <w:noProof/>
              <w:lang w:eastAsia="en-US"/>
            </w:rPr>
          </w:pPr>
          <w:hyperlink w:anchor="_Toc450308529" w:history="1">
            <w:r w:rsidR="00E9500D" w:rsidRPr="00F2209B">
              <w:rPr>
                <w:rStyle w:val="Hyperlink"/>
                <w:noProof/>
              </w:rPr>
              <w:t xml:space="preserve">3. </w:t>
            </w:r>
            <w:r w:rsidR="00E9500D">
              <w:rPr>
                <w:noProof/>
                <w:lang w:eastAsia="en-US"/>
              </w:rPr>
              <w:tab/>
            </w:r>
            <w:r w:rsidR="00E9500D" w:rsidRPr="00F2209B">
              <w:rPr>
                <w:rStyle w:val="Hyperlink"/>
                <w:noProof/>
              </w:rPr>
              <w:t>OECD Due Diligence Guidance: Step 5 – Public Reporting</w:t>
            </w:r>
            <w:r w:rsidR="00E9500D">
              <w:rPr>
                <w:noProof/>
                <w:webHidden/>
              </w:rPr>
              <w:tab/>
            </w:r>
            <w:r w:rsidR="00E9500D">
              <w:rPr>
                <w:noProof/>
                <w:webHidden/>
              </w:rPr>
              <w:fldChar w:fldCharType="begin"/>
            </w:r>
            <w:r w:rsidR="00E9500D">
              <w:rPr>
                <w:noProof/>
                <w:webHidden/>
              </w:rPr>
              <w:instrText xml:space="preserve"> PAGEREF _Toc450308529 \h </w:instrText>
            </w:r>
            <w:r w:rsidR="00E9500D">
              <w:rPr>
                <w:noProof/>
                <w:webHidden/>
              </w:rPr>
            </w:r>
            <w:r w:rsidR="00E9500D">
              <w:rPr>
                <w:noProof/>
                <w:webHidden/>
              </w:rPr>
              <w:fldChar w:fldCharType="separate"/>
            </w:r>
            <w:r w:rsidR="00E9500D">
              <w:rPr>
                <w:noProof/>
                <w:webHidden/>
              </w:rPr>
              <w:t>20</w:t>
            </w:r>
            <w:r w:rsidR="00E9500D">
              <w:rPr>
                <w:noProof/>
                <w:webHidden/>
              </w:rPr>
              <w:fldChar w:fldCharType="end"/>
            </w:r>
          </w:hyperlink>
        </w:p>
        <w:p w14:paraId="6FDAC9C2" w14:textId="77777777" w:rsidR="00E9500D" w:rsidRDefault="007817B3">
          <w:pPr>
            <w:pStyle w:val="TOC1"/>
            <w:tabs>
              <w:tab w:val="left" w:pos="660"/>
              <w:tab w:val="right" w:leader="dot" w:pos="9350"/>
            </w:tabs>
            <w:rPr>
              <w:noProof/>
              <w:lang w:eastAsia="en-US"/>
            </w:rPr>
          </w:pPr>
          <w:hyperlink w:anchor="_Toc450308530" w:history="1">
            <w:r w:rsidR="00E9500D" w:rsidRPr="00F2209B">
              <w:rPr>
                <w:rStyle w:val="Hyperlink"/>
                <w:noProof/>
              </w:rPr>
              <w:t>IX.</w:t>
            </w:r>
            <w:r w:rsidR="00E9500D">
              <w:rPr>
                <w:noProof/>
                <w:lang w:eastAsia="en-US"/>
              </w:rPr>
              <w:tab/>
            </w:r>
            <w:r w:rsidR="00E9500D" w:rsidRPr="00F2209B">
              <w:rPr>
                <w:rStyle w:val="Hyperlink"/>
                <w:noProof/>
              </w:rPr>
              <w:t>Annexes</w:t>
            </w:r>
            <w:r w:rsidR="00E9500D">
              <w:rPr>
                <w:noProof/>
                <w:webHidden/>
              </w:rPr>
              <w:tab/>
            </w:r>
            <w:r w:rsidR="00E9500D">
              <w:rPr>
                <w:noProof/>
                <w:webHidden/>
              </w:rPr>
              <w:fldChar w:fldCharType="begin"/>
            </w:r>
            <w:r w:rsidR="00E9500D">
              <w:rPr>
                <w:noProof/>
                <w:webHidden/>
              </w:rPr>
              <w:instrText xml:space="preserve"> PAGEREF _Toc450308530 \h </w:instrText>
            </w:r>
            <w:r w:rsidR="00E9500D">
              <w:rPr>
                <w:noProof/>
                <w:webHidden/>
              </w:rPr>
            </w:r>
            <w:r w:rsidR="00E9500D">
              <w:rPr>
                <w:noProof/>
                <w:webHidden/>
              </w:rPr>
              <w:fldChar w:fldCharType="separate"/>
            </w:r>
            <w:r w:rsidR="00E9500D">
              <w:rPr>
                <w:noProof/>
                <w:webHidden/>
              </w:rPr>
              <w:t>21</w:t>
            </w:r>
            <w:r w:rsidR="00E9500D">
              <w:rPr>
                <w:noProof/>
                <w:webHidden/>
              </w:rPr>
              <w:fldChar w:fldCharType="end"/>
            </w:r>
          </w:hyperlink>
        </w:p>
        <w:p w14:paraId="377B00FA" w14:textId="77777777" w:rsidR="00E9500D" w:rsidRDefault="007817B3">
          <w:pPr>
            <w:pStyle w:val="TOC2"/>
            <w:tabs>
              <w:tab w:val="right" w:leader="dot" w:pos="9350"/>
            </w:tabs>
            <w:rPr>
              <w:noProof/>
              <w:lang w:eastAsia="en-US"/>
            </w:rPr>
          </w:pPr>
          <w:hyperlink w:anchor="_Toc450308531" w:history="1">
            <w:r w:rsidR="00E9500D" w:rsidRPr="00F2209B">
              <w:rPr>
                <w:rStyle w:val="Hyperlink"/>
                <w:noProof/>
              </w:rPr>
              <w:t>Annex I: Document Examples by Material Type</w:t>
            </w:r>
            <w:r w:rsidR="00E9500D">
              <w:rPr>
                <w:noProof/>
                <w:webHidden/>
              </w:rPr>
              <w:tab/>
            </w:r>
            <w:r w:rsidR="00E9500D">
              <w:rPr>
                <w:noProof/>
                <w:webHidden/>
              </w:rPr>
              <w:fldChar w:fldCharType="begin"/>
            </w:r>
            <w:r w:rsidR="00E9500D">
              <w:rPr>
                <w:noProof/>
                <w:webHidden/>
              </w:rPr>
              <w:instrText xml:space="preserve"> PAGEREF _Toc450308531 \h </w:instrText>
            </w:r>
            <w:r w:rsidR="00E9500D">
              <w:rPr>
                <w:noProof/>
                <w:webHidden/>
              </w:rPr>
            </w:r>
            <w:r w:rsidR="00E9500D">
              <w:rPr>
                <w:noProof/>
                <w:webHidden/>
              </w:rPr>
              <w:fldChar w:fldCharType="separate"/>
            </w:r>
            <w:r w:rsidR="00E9500D">
              <w:rPr>
                <w:noProof/>
                <w:webHidden/>
              </w:rPr>
              <w:t>21</w:t>
            </w:r>
            <w:r w:rsidR="00E9500D">
              <w:rPr>
                <w:noProof/>
                <w:webHidden/>
              </w:rPr>
              <w:fldChar w:fldCharType="end"/>
            </w:r>
          </w:hyperlink>
        </w:p>
        <w:p w14:paraId="04E14713" w14:textId="77777777" w:rsidR="00E9500D" w:rsidRDefault="007817B3">
          <w:pPr>
            <w:pStyle w:val="TOC3"/>
            <w:tabs>
              <w:tab w:val="left" w:pos="880"/>
              <w:tab w:val="right" w:leader="dot" w:pos="9350"/>
            </w:tabs>
            <w:rPr>
              <w:noProof/>
              <w:lang w:eastAsia="en-US"/>
            </w:rPr>
          </w:pPr>
          <w:hyperlink w:anchor="_Toc450308532" w:history="1">
            <w:r w:rsidR="00E9500D" w:rsidRPr="00F2209B">
              <w:rPr>
                <w:rStyle w:val="Hyperlink"/>
                <w:noProof/>
              </w:rPr>
              <w:t>A.</w:t>
            </w:r>
            <w:r w:rsidR="00E9500D">
              <w:rPr>
                <w:noProof/>
                <w:lang w:eastAsia="en-US"/>
              </w:rPr>
              <w:tab/>
            </w:r>
            <w:r w:rsidR="00E9500D" w:rsidRPr="00F2209B">
              <w:rPr>
                <w:rStyle w:val="Hyperlink"/>
                <w:noProof/>
              </w:rPr>
              <w:t>Mined Materials</w:t>
            </w:r>
            <w:r w:rsidR="00E9500D">
              <w:rPr>
                <w:noProof/>
                <w:webHidden/>
              </w:rPr>
              <w:tab/>
            </w:r>
            <w:r w:rsidR="00E9500D">
              <w:rPr>
                <w:noProof/>
                <w:webHidden/>
              </w:rPr>
              <w:fldChar w:fldCharType="begin"/>
            </w:r>
            <w:r w:rsidR="00E9500D">
              <w:rPr>
                <w:noProof/>
                <w:webHidden/>
              </w:rPr>
              <w:instrText xml:space="preserve"> PAGEREF _Toc450308532 \h </w:instrText>
            </w:r>
            <w:r w:rsidR="00E9500D">
              <w:rPr>
                <w:noProof/>
                <w:webHidden/>
              </w:rPr>
            </w:r>
            <w:r w:rsidR="00E9500D">
              <w:rPr>
                <w:noProof/>
                <w:webHidden/>
              </w:rPr>
              <w:fldChar w:fldCharType="separate"/>
            </w:r>
            <w:r w:rsidR="00E9500D">
              <w:rPr>
                <w:noProof/>
                <w:webHidden/>
              </w:rPr>
              <w:t>21</w:t>
            </w:r>
            <w:r w:rsidR="00E9500D">
              <w:rPr>
                <w:noProof/>
                <w:webHidden/>
              </w:rPr>
              <w:fldChar w:fldCharType="end"/>
            </w:r>
          </w:hyperlink>
        </w:p>
        <w:p w14:paraId="5170459F" w14:textId="77777777" w:rsidR="00E9500D" w:rsidRDefault="007817B3">
          <w:pPr>
            <w:pStyle w:val="TOC3"/>
            <w:tabs>
              <w:tab w:val="left" w:pos="880"/>
              <w:tab w:val="right" w:leader="dot" w:pos="9350"/>
            </w:tabs>
            <w:rPr>
              <w:noProof/>
              <w:lang w:eastAsia="en-US"/>
            </w:rPr>
          </w:pPr>
          <w:hyperlink w:anchor="_Toc450308533" w:history="1">
            <w:r w:rsidR="00E9500D" w:rsidRPr="00F2209B">
              <w:rPr>
                <w:rStyle w:val="Hyperlink"/>
                <w:noProof/>
              </w:rPr>
              <w:t>B.</w:t>
            </w:r>
            <w:r w:rsidR="00E9500D">
              <w:rPr>
                <w:noProof/>
                <w:lang w:eastAsia="en-US"/>
              </w:rPr>
              <w:tab/>
            </w:r>
            <w:r w:rsidR="00E9500D" w:rsidRPr="00F2209B">
              <w:rPr>
                <w:rStyle w:val="Hyperlink"/>
                <w:noProof/>
              </w:rPr>
              <w:t>Secondary Materials</w:t>
            </w:r>
            <w:r w:rsidR="00E9500D">
              <w:rPr>
                <w:noProof/>
                <w:webHidden/>
              </w:rPr>
              <w:tab/>
            </w:r>
            <w:r w:rsidR="00E9500D">
              <w:rPr>
                <w:noProof/>
                <w:webHidden/>
              </w:rPr>
              <w:fldChar w:fldCharType="begin"/>
            </w:r>
            <w:r w:rsidR="00E9500D">
              <w:rPr>
                <w:noProof/>
                <w:webHidden/>
              </w:rPr>
              <w:instrText xml:space="preserve"> PAGEREF _Toc450308533 \h </w:instrText>
            </w:r>
            <w:r w:rsidR="00E9500D">
              <w:rPr>
                <w:noProof/>
                <w:webHidden/>
              </w:rPr>
            </w:r>
            <w:r w:rsidR="00E9500D">
              <w:rPr>
                <w:noProof/>
                <w:webHidden/>
              </w:rPr>
              <w:fldChar w:fldCharType="separate"/>
            </w:r>
            <w:r w:rsidR="00E9500D">
              <w:rPr>
                <w:noProof/>
                <w:webHidden/>
              </w:rPr>
              <w:t>26</w:t>
            </w:r>
            <w:r w:rsidR="00E9500D">
              <w:rPr>
                <w:noProof/>
                <w:webHidden/>
              </w:rPr>
              <w:fldChar w:fldCharType="end"/>
            </w:r>
          </w:hyperlink>
        </w:p>
        <w:p w14:paraId="5B2BB48F" w14:textId="77777777" w:rsidR="00E9500D" w:rsidRDefault="007817B3">
          <w:pPr>
            <w:pStyle w:val="TOC3"/>
            <w:tabs>
              <w:tab w:val="left" w:pos="880"/>
              <w:tab w:val="right" w:leader="dot" w:pos="9350"/>
            </w:tabs>
            <w:rPr>
              <w:noProof/>
              <w:lang w:eastAsia="en-US"/>
            </w:rPr>
          </w:pPr>
          <w:hyperlink w:anchor="_Toc450308534" w:history="1">
            <w:r w:rsidR="00E9500D" w:rsidRPr="00F2209B">
              <w:rPr>
                <w:rStyle w:val="Hyperlink"/>
                <w:noProof/>
              </w:rPr>
              <w:t>C.</w:t>
            </w:r>
            <w:r w:rsidR="00E9500D">
              <w:rPr>
                <w:noProof/>
                <w:lang w:eastAsia="en-US"/>
              </w:rPr>
              <w:tab/>
            </w:r>
            <w:r w:rsidR="00E9500D" w:rsidRPr="00F2209B">
              <w:rPr>
                <w:rStyle w:val="Hyperlink"/>
                <w:noProof/>
              </w:rPr>
              <w:t>Legacy Materials</w:t>
            </w:r>
            <w:r w:rsidR="00E9500D">
              <w:rPr>
                <w:noProof/>
                <w:webHidden/>
              </w:rPr>
              <w:tab/>
            </w:r>
            <w:r w:rsidR="00E9500D">
              <w:rPr>
                <w:noProof/>
                <w:webHidden/>
              </w:rPr>
              <w:fldChar w:fldCharType="begin"/>
            </w:r>
            <w:r w:rsidR="00E9500D">
              <w:rPr>
                <w:noProof/>
                <w:webHidden/>
              </w:rPr>
              <w:instrText xml:space="preserve"> PAGEREF _Toc450308534 \h </w:instrText>
            </w:r>
            <w:r w:rsidR="00E9500D">
              <w:rPr>
                <w:noProof/>
                <w:webHidden/>
              </w:rPr>
            </w:r>
            <w:r w:rsidR="00E9500D">
              <w:rPr>
                <w:noProof/>
                <w:webHidden/>
              </w:rPr>
              <w:fldChar w:fldCharType="separate"/>
            </w:r>
            <w:r w:rsidR="00E9500D">
              <w:rPr>
                <w:noProof/>
                <w:webHidden/>
              </w:rPr>
              <w:t>28</w:t>
            </w:r>
            <w:r w:rsidR="00E9500D">
              <w:rPr>
                <w:noProof/>
                <w:webHidden/>
              </w:rPr>
              <w:fldChar w:fldCharType="end"/>
            </w:r>
          </w:hyperlink>
        </w:p>
        <w:p w14:paraId="36BABCF3" w14:textId="77777777" w:rsidR="00E9500D" w:rsidRDefault="007817B3">
          <w:pPr>
            <w:pStyle w:val="TOC3"/>
            <w:tabs>
              <w:tab w:val="left" w:pos="880"/>
              <w:tab w:val="right" w:leader="dot" w:pos="9350"/>
            </w:tabs>
            <w:rPr>
              <w:noProof/>
              <w:lang w:eastAsia="en-US"/>
            </w:rPr>
          </w:pPr>
          <w:hyperlink w:anchor="_Toc450308535" w:history="1">
            <w:r w:rsidR="00E9500D" w:rsidRPr="00F2209B">
              <w:rPr>
                <w:rStyle w:val="Hyperlink"/>
                <w:noProof/>
              </w:rPr>
              <w:t>D.</w:t>
            </w:r>
            <w:r w:rsidR="00E9500D">
              <w:rPr>
                <w:noProof/>
                <w:lang w:eastAsia="en-US"/>
              </w:rPr>
              <w:tab/>
            </w:r>
            <w:r w:rsidR="00E9500D" w:rsidRPr="00F2209B">
              <w:rPr>
                <w:rStyle w:val="Hyperlink"/>
                <w:noProof/>
              </w:rPr>
              <w:t>Assay Samples</w:t>
            </w:r>
            <w:r w:rsidR="00E9500D">
              <w:rPr>
                <w:noProof/>
                <w:webHidden/>
              </w:rPr>
              <w:tab/>
            </w:r>
            <w:r w:rsidR="00E9500D">
              <w:rPr>
                <w:noProof/>
                <w:webHidden/>
              </w:rPr>
              <w:fldChar w:fldCharType="begin"/>
            </w:r>
            <w:r w:rsidR="00E9500D">
              <w:rPr>
                <w:noProof/>
                <w:webHidden/>
              </w:rPr>
              <w:instrText xml:space="preserve"> PAGEREF _Toc450308535 \h </w:instrText>
            </w:r>
            <w:r w:rsidR="00E9500D">
              <w:rPr>
                <w:noProof/>
                <w:webHidden/>
              </w:rPr>
            </w:r>
            <w:r w:rsidR="00E9500D">
              <w:rPr>
                <w:noProof/>
                <w:webHidden/>
              </w:rPr>
              <w:fldChar w:fldCharType="separate"/>
            </w:r>
            <w:r w:rsidR="00E9500D">
              <w:rPr>
                <w:noProof/>
                <w:webHidden/>
              </w:rPr>
              <w:t>28</w:t>
            </w:r>
            <w:r w:rsidR="00E9500D">
              <w:rPr>
                <w:noProof/>
                <w:webHidden/>
              </w:rPr>
              <w:fldChar w:fldCharType="end"/>
            </w:r>
          </w:hyperlink>
        </w:p>
        <w:p w14:paraId="34EF7871" w14:textId="77777777" w:rsidR="00E9500D" w:rsidRDefault="007817B3">
          <w:pPr>
            <w:pStyle w:val="TOC2"/>
            <w:tabs>
              <w:tab w:val="right" w:leader="dot" w:pos="9350"/>
            </w:tabs>
            <w:rPr>
              <w:noProof/>
              <w:lang w:eastAsia="en-US"/>
            </w:rPr>
          </w:pPr>
          <w:hyperlink w:anchor="_Toc450308536" w:history="1">
            <w:r w:rsidR="00E9500D" w:rsidRPr="00F2209B">
              <w:rPr>
                <w:rStyle w:val="Hyperlink"/>
                <w:noProof/>
              </w:rPr>
              <w:t>Annex II: Supplying Smelter / Exchanges Origin Determination Requirements</w:t>
            </w:r>
            <w:r w:rsidR="00E9500D">
              <w:rPr>
                <w:noProof/>
                <w:webHidden/>
              </w:rPr>
              <w:tab/>
            </w:r>
            <w:r w:rsidR="00E9500D">
              <w:rPr>
                <w:noProof/>
                <w:webHidden/>
              </w:rPr>
              <w:fldChar w:fldCharType="begin"/>
            </w:r>
            <w:r w:rsidR="00E9500D">
              <w:rPr>
                <w:noProof/>
                <w:webHidden/>
              </w:rPr>
              <w:instrText xml:space="preserve"> PAGEREF _Toc450308536 \h </w:instrText>
            </w:r>
            <w:r w:rsidR="00E9500D">
              <w:rPr>
                <w:noProof/>
                <w:webHidden/>
              </w:rPr>
            </w:r>
            <w:r w:rsidR="00E9500D">
              <w:rPr>
                <w:noProof/>
                <w:webHidden/>
              </w:rPr>
              <w:fldChar w:fldCharType="separate"/>
            </w:r>
            <w:r w:rsidR="00E9500D">
              <w:rPr>
                <w:noProof/>
                <w:webHidden/>
              </w:rPr>
              <w:t>29</w:t>
            </w:r>
            <w:r w:rsidR="00E9500D">
              <w:rPr>
                <w:noProof/>
                <w:webHidden/>
              </w:rPr>
              <w:fldChar w:fldCharType="end"/>
            </w:r>
          </w:hyperlink>
        </w:p>
        <w:p w14:paraId="61EC496F" w14:textId="77777777" w:rsidR="00E9500D" w:rsidRDefault="007817B3">
          <w:pPr>
            <w:pStyle w:val="TOC2"/>
            <w:tabs>
              <w:tab w:val="right" w:leader="dot" w:pos="9350"/>
            </w:tabs>
            <w:rPr>
              <w:noProof/>
              <w:lang w:eastAsia="en-US"/>
            </w:rPr>
          </w:pPr>
          <w:hyperlink w:anchor="_Toc450308537" w:history="1">
            <w:r w:rsidR="00E9500D" w:rsidRPr="00F2209B">
              <w:rPr>
                <w:rStyle w:val="Hyperlink"/>
                <w:noProof/>
              </w:rPr>
              <w:t>Annex III: Sampling Guidance</w:t>
            </w:r>
            <w:r w:rsidR="00E9500D">
              <w:rPr>
                <w:noProof/>
                <w:webHidden/>
              </w:rPr>
              <w:tab/>
            </w:r>
            <w:r w:rsidR="00E9500D">
              <w:rPr>
                <w:noProof/>
                <w:webHidden/>
              </w:rPr>
              <w:fldChar w:fldCharType="begin"/>
            </w:r>
            <w:r w:rsidR="00E9500D">
              <w:rPr>
                <w:noProof/>
                <w:webHidden/>
              </w:rPr>
              <w:instrText xml:space="preserve"> PAGEREF _Toc450308537 \h </w:instrText>
            </w:r>
            <w:r w:rsidR="00E9500D">
              <w:rPr>
                <w:noProof/>
                <w:webHidden/>
              </w:rPr>
            </w:r>
            <w:r w:rsidR="00E9500D">
              <w:rPr>
                <w:noProof/>
                <w:webHidden/>
              </w:rPr>
              <w:fldChar w:fldCharType="separate"/>
            </w:r>
            <w:r w:rsidR="00E9500D">
              <w:rPr>
                <w:noProof/>
                <w:webHidden/>
              </w:rPr>
              <w:t>32</w:t>
            </w:r>
            <w:r w:rsidR="00E9500D">
              <w:rPr>
                <w:noProof/>
                <w:webHidden/>
              </w:rPr>
              <w:fldChar w:fldCharType="end"/>
            </w:r>
          </w:hyperlink>
        </w:p>
        <w:p w14:paraId="40CA24FB" w14:textId="77777777" w:rsidR="00E9500D" w:rsidRDefault="007817B3">
          <w:pPr>
            <w:pStyle w:val="TOC2"/>
            <w:tabs>
              <w:tab w:val="right" w:leader="dot" w:pos="9350"/>
            </w:tabs>
            <w:rPr>
              <w:noProof/>
              <w:lang w:eastAsia="en-US"/>
            </w:rPr>
          </w:pPr>
          <w:hyperlink w:anchor="_Toc450308538" w:history="1">
            <w:r w:rsidR="00E9500D" w:rsidRPr="00F2209B">
              <w:rPr>
                <w:rStyle w:val="Hyperlink"/>
                <w:noProof/>
              </w:rPr>
              <w:t>Annex IV: Tin Company and Material Types</w:t>
            </w:r>
            <w:r w:rsidR="00E9500D">
              <w:rPr>
                <w:noProof/>
                <w:webHidden/>
              </w:rPr>
              <w:tab/>
            </w:r>
            <w:r w:rsidR="00E9500D">
              <w:rPr>
                <w:noProof/>
                <w:webHidden/>
              </w:rPr>
              <w:fldChar w:fldCharType="begin"/>
            </w:r>
            <w:r w:rsidR="00E9500D">
              <w:rPr>
                <w:noProof/>
                <w:webHidden/>
              </w:rPr>
              <w:instrText xml:space="preserve"> PAGEREF _Toc450308538 \h </w:instrText>
            </w:r>
            <w:r w:rsidR="00E9500D">
              <w:rPr>
                <w:noProof/>
                <w:webHidden/>
              </w:rPr>
            </w:r>
            <w:r w:rsidR="00E9500D">
              <w:rPr>
                <w:noProof/>
                <w:webHidden/>
              </w:rPr>
              <w:fldChar w:fldCharType="separate"/>
            </w:r>
            <w:r w:rsidR="00E9500D">
              <w:rPr>
                <w:noProof/>
                <w:webHidden/>
              </w:rPr>
              <w:t>35</w:t>
            </w:r>
            <w:r w:rsidR="00E9500D">
              <w:rPr>
                <w:noProof/>
                <w:webHidden/>
              </w:rPr>
              <w:fldChar w:fldCharType="end"/>
            </w:r>
          </w:hyperlink>
        </w:p>
        <w:p w14:paraId="25F97C1D" w14:textId="77777777" w:rsidR="00E9500D" w:rsidRDefault="007817B3">
          <w:pPr>
            <w:pStyle w:val="TOC2"/>
            <w:tabs>
              <w:tab w:val="right" w:leader="dot" w:pos="9350"/>
            </w:tabs>
            <w:rPr>
              <w:noProof/>
              <w:lang w:eastAsia="en-US"/>
            </w:rPr>
          </w:pPr>
          <w:hyperlink w:anchor="_Toc450308539" w:history="1">
            <w:r w:rsidR="00E9500D" w:rsidRPr="00F2209B">
              <w:rPr>
                <w:rStyle w:val="Hyperlink"/>
                <w:noProof/>
              </w:rPr>
              <w:t>Annex V: Tantalum Company and Material Types</w:t>
            </w:r>
            <w:r w:rsidR="00E9500D">
              <w:rPr>
                <w:noProof/>
                <w:webHidden/>
              </w:rPr>
              <w:tab/>
            </w:r>
            <w:r w:rsidR="00E9500D">
              <w:rPr>
                <w:noProof/>
                <w:webHidden/>
              </w:rPr>
              <w:fldChar w:fldCharType="begin"/>
            </w:r>
            <w:r w:rsidR="00E9500D">
              <w:rPr>
                <w:noProof/>
                <w:webHidden/>
              </w:rPr>
              <w:instrText xml:space="preserve"> PAGEREF _Toc450308539 \h </w:instrText>
            </w:r>
            <w:r w:rsidR="00E9500D">
              <w:rPr>
                <w:noProof/>
                <w:webHidden/>
              </w:rPr>
            </w:r>
            <w:r w:rsidR="00E9500D">
              <w:rPr>
                <w:noProof/>
                <w:webHidden/>
              </w:rPr>
              <w:fldChar w:fldCharType="separate"/>
            </w:r>
            <w:r w:rsidR="00E9500D">
              <w:rPr>
                <w:noProof/>
                <w:webHidden/>
              </w:rPr>
              <w:t>39</w:t>
            </w:r>
            <w:r w:rsidR="00E9500D">
              <w:rPr>
                <w:noProof/>
                <w:webHidden/>
              </w:rPr>
              <w:fldChar w:fldCharType="end"/>
            </w:r>
          </w:hyperlink>
        </w:p>
        <w:p w14:paraId="6F1B3096" w14:textId="77777777" w:rsidR="00E9500D" w:rsidRDefault="007817B3">
          <w:pPr>
            <w:pStyle w:val="TOC2"/>
            <w:tabs>
              <w:tab w:val="right" w:leader="dot" w:pos="9350"/>
            </w:tabs>
            <w:rPr>
              <w:noProof/>
              <w:lang w:eastAsia="en-US"/>
            </w:rPr>
          </w:pPr>
          <w:hyperlink w:anchor="_Toc450308540" w:history="1">
            <w:r w:rsidR="00E9500D" w:rsidRPr="00F2209B">
              <w:rPr>
                <w:rStyle w:val="Hyperlink"/>
                <w:noProof/>
              </w:rPr>
              <w:t>Annex VI: Approach for ASM Sourcing</w:t>
            </w:r>
            <w:r w:rsidR="00E9500D">
              <w:rPr>
                <w:noProof/>
                <w:webHidden/>
              </w:rPr>
              <w:tab/>
            </w:r>
            <w:r w:rsidR="00E9500D">
              <w:rPr>
                <w:noProof/>
                <w:webHidden/>
              </w:rPr>
              <w:fldChar w:fldCharType="begin"/>
            </w:r>
            <w:r w:rsidR="00E9500D">
              <w:rPr>
                <w:noProof/>
                <w:webHidden/>
              </w:rPr>
              <w:instrText xml:space="preserve"> PAGEREF _Toc450308540 \h </w:instrText>
            </w:r>
            <w:r w:rsidR="00E9500D">
              <w:rPr>
                <w:noProof/>
                <w:webHidden/>
              </w:rPr>
            </w:r>
            <w:r w:rsidR="00E9500D">
              <w:rPr>
                <w:noProof/>
                <w:webHidden/>
              </w:rPr>
              <w:fldChar w:fldCharType="separate"/>
            </w:r>
            <w:r w:rsidR="00E9500D">
              <w:rPr>
                <w:noProof/>
                <w:webHidden/>
              </w:rPr>
              <w:t>40</w:t>
            </w:r>
            <w:r w:rsidR="00E9500D">
              <w:rPr>
                <w:noProof/>
                <w:webHidden/>
              </w:rPr>
              <w:fldChar w:fldCharType="end"/>
            </w:r>
          </w:hyperlink>
        </w:p>
        <w:p w14:paraId="0123D259" w14:textId="77777777" w:rsidR="00E9500D" w:rsidRDefault="007817B3">
          <w:pPr>
            <w:pStyle w:val="TOC2"/>
            <w:tabs>
              <w:tab w:val="right" w:leader="dot" w:pos="9350"/>
            </w:tabs>
            <w:rPr>
              <w:noProof/>
              <w:lang w:eastAsia="en-US"/>
            </w:rPr>
          </w:pPr>
          <w:hyperlink w:anchor="_Toc450308541" w:history="1">
            <w:r w:rsidR="00E9500D" w:rsidRPr="00F2209B">
              <w:rPr>
                <w:rStyle w:val="Hyperlink"/>
                <w:noProof/>
              </w:rPr>
              <w:t>Annex VII: Terms and Definitions</w:t>
            </w:r>
            <w:r w:rsidR="00E9500D">
              <w:rPr>
                <w:noProof/>
                <w:webHidden/>
              </w:rPr>
              <w:tab/>
            </w:r>
            <w:r w:rsidR="00E9500D">
              <w:rPr>
                <w:noProof/>
                <w:webHidden/>
              </w:rPr>
              <w:fldChar w:fldCharType="begin"/>
            </w:r>
            <w:r w:rsidR="00E9500D">
              <w:rPr>
                <w:noProof/>
                <w:webHidden/>
              </w:rPr>
              <w:instrText xml:space="preserve"> PAGEREF _Toc450308541 \h </w:instrText>
            </w:r>
            <w:r w:rsidR="00E9500D">
              <w:rPr>
                <w:noProof/>
                <w:webHidden/>
              </w:rPr>
            </w:r>
            <w:r w:rsidR="00E9500D">
              <w:rPr>
                <w:noProof/>
                <w:webHidden/>
              </w:rPr>
              <w:fldChar w:fldCharType="separate"/>
            </w:r>
            <w:r w:rsidR="00E9500D">
              <w:rPr>
                <w:noProof/>
                <w:webHidden/>
              </w:rPr>
              <w:t>41</w:t>
            </w:r>
            <w:r w:rsidR="00E9500D">
              <w:rPr>
                <w:noProof/>
                <w:webHidden/>
              </w:rPr>
              <w:fldChar w:fldCharType="end"/>
            </w:r>
          </w:hyperlink>
        </w:p>
        <w:p w14:paraId="56494A5E" w14:textId="77777777" w:rsidR="00E9500D" w:rsidRDefault="007817B3">
          <w:pPr>
            <w:pStyle w:val="TOC2"/>
            <w:tabs>
              <w:tab w:val="right" w:leader="dot" w:pos="9350"/>
            </w:tabs>
            <w:rPr>
              <w:noProof/>
              <w:lang w:eastAsia="en-US"/>
            </w:rPr>
          </w:pPr>
          <w:hyperlink w:anchor="_Toc450308542" w:history="1">
            <w:r w:rsidR="00E9500D" w:rsidRPr="00F2209B">
              <w:rPr>
                <w:rStyle w:val="Hyperlink"/>
                <w:noProof/>
              </w:rPr>
              <w:t>Annex VIII: References</w:t>
            </w:r>
            <w:r w:rsidR="00E9500D">
              <w:rPr>
                <w:noProof/>
                <w:webHidden/>
              </w:rPr>
              <w:tab/>
            </w:r>
            <w:r w:rsidR="00E9500D">
              <w:rPr>
                <w:noProof/>
                <w:webHidden/>
              </w:rPr>
              <w:fldChar w:fldCharType="begin"/>
            </w:r>
            <w:r w:rsidR="00E9500D">
              <w:rPr>
                <w:noProof/>
                <w:webHidden/>
              </w:rPr>
              <w:instrText xml:space="preserve"> PAGEREF _Toc450308542 \h </w:instrText>
            </w:r>
            <w:r w:rsidR="00E9500D">
              <w:rPr>
                <w:noProof/>
                <w:webHidden/>
              </w:rPr>
            </w:r>
            <w:r w:rsidR="00E9500D">
              <w:rPr>
                <w:noProof/>
                <w:webHidden/>
              </w:rPr>
              <w:fldChar w:fldCharType="separate"/>
            </w:r>
            <w:r w:rsidR="00E9500D">
              <w:rPr>
                <w:noProof/>
                <w:webHidden/>
              </w:rPr>
              <w:t>45</w:t>
            </w:r>
            <w:r w:rsidR="00E9500D">
              <w:rPr>
                <w:noProof/>
                <w:webHidden/>
              </w:rPr>
              <w:fldChar w:fldCharType="end"/>
            </w:r>
          </w:hyperlink>
        </w:p>
        <w:p w14:paraId="54B6CE2B" w14:textId="77777777" w:rsidR="00E9500D" w:rsidRDefault="007817B3">
          <w:pPr>
            <w:pStyle w:val="TOC2"/>
            <w:tabs>
              <w:tab w:val="right" w:leader="dot" w:pos="9350"/>
            </w:tabs>
            <w:rPr>
              <w:noProof/>
              <w:lang w:eastAsia="en-US"/>
            </w:rPr>
          </w:pPr>
          <w:hyperlink w:anchor="_Toc450308543" w:history="1">
            <w:r w:rsidR="00E9500D" w:rsidRPr="00F2209B">
              <w:rPr>
                <w:rStyle w:val="Hyperlink"/>
                <w:noProof/>
              </w:rPr>
              <w:t>Annex IX: Effective Date &amp; Revision History</w:t>
            </w:r>
            <w:r w:rsidR="00E9500D">
              <w:rPr>
                <w:noProof/>
                <w:webHidden/>
              </w:rPr>
              <w:tab/>
            </w:r>
            <w:r w:rsidR="00E9500D">
              <w:rPr>
                <w:noProof/>
                <w:webHidden/>
              </w:rPr>
              <w:fldChar w:fldCharType="begin"/>
            </w:r>
            <w:r w:rsidR="00E9500D">
              <w:rPr>
                <w:noProof/>
                <w:webHidden/>
              </w:rPr>
              <w:instrText xml:space="preserve"> PAGEREF _Toc450308543 \h </w:instrText>
            </w:r>
            <w:r w:rsidR="00E9500D">
              <w:rPr>
                <w:noProof/>
                <w:webHidden/>
              </w:rPr>
            </w:r>
            <w:r w:rsidR="00E9500D">
              <w:rPr>
                <w:noProof/>
                <w:webHidden/>
              </w:rPr>
              <w:fldChar w:fldCharType="separate"/>
            </w:r>
            <w:r w:rsidR="00E9500D">
              <w:rPr>
                <w:noProof/>
                <w:webHidden/>
              </w:rPr>
              <w:t>46</w:t>
            </w:r>
            <w:r w:rsidR="00E9500D">
              <w:rPr>
                <w:noProof/>
                <w:webHidden/>
              </w:rPr>
              <w:fldChar w:fldCharType="end"/>
            </w:r>
          </w:hyperlink>
        </w:p>
        <w:p w14:paraId="04101AA5" w14:textId="77777777" w:rsidR="00E9500D" w:rsidRDefault="007817B3">
          <w:pPr>
            <w:pStyle w:val="TOC2"/>
            <w:tabs>
              <w:tab w:val="right" w:leader="dot" w:pos="9350"/>
            </w:tabs>
            <w:rPr>
              <w:noProof/>
              <w:lang w:eastAsia="en-US"/>
            </w:rPr>
          </w:pPr>
          <w:hyperlink w:anchor="_Toc450308544" w:history="1">
            <w:r w:rsidR="00E9500D" w:rsidRPr="00F2209B">
              <w:rPr>
                <w:rStyle w:val="Hyperlink"/>
                <w:noProof/>
              </w:rPr>
              <w:t>Annex X: Revision History</w:t>
            </w:r>
            <w:r w:rsidR="00E9500D">
              <w:rPr>
                <w:noProof/>
                <w:webHidden/>
              </w:rPr>
              <w:tab/>
            </w:r>
            <w:r w:rsidR="00E9500D">
              <w:rPr>
                <w:noProof/>
                <w:webHidden/>
              </w:rPr>
              <w:fldChar w:fldCharType="begin"/>
            </w:r>
            <w:r w:rsidR="00E9500D">
              <w:rPr>
                <w:noProof/>
                <w:webHidden/>
              </w:rPr>
              <w:instrText xml:space="preserve"> PAGEREF _Toc450308544 \h </w:instrText>
            </w:r>
            <w:r w:rsidR="00E9500D">
              <w:rPr>
                <w:noProof/>
                <w:webHidden/>
              </w:rPr>
            </w:r>
            <w:r w:rsidR="00E9500D">
              <w:rPr>
                <w:noProof/>
                <w:webHidden/>
              </w:rPr>
              <w:fldChar w:fldCharType="separate"/>
            </w:r>
            <w:r w:rsidR="00E9500D">
              <w:rPr>
                <w:noProof/>
                <w:webHidden/>
              </w:rPr>
              <w:t>46</w:t>
            </w:r>
            <w:r w:rsidR="00E9500D">
              <w:rPr>
                <w:noProof/>
                <w:webHidden/>
              </w:rPr>
              <w:fldChar w:fldCharType="end"/>
            </w:r>
          </w:hyperlink>
        </w:p>
        <w:p w14:paraId="46A32EF7" w14:textId="77777777" w:rsidR="00ED4435" w:rsidRDefault="00ED4435" w:rsidP="00C21A33">
          <w:pPr>
            <w:spacing w:after="0" w:line="240" w:lineRule="auto"/>
            <w:jc w:val="both"/>
          </w:pPr>
          <w:r>
            <w:rPr>
              <w:b/>
              <w:bCs/>
              <w:noProof/>
            </w:rPr>
            <w:fldChar w:fldCharType="end"/>
          </w:r>
        </w:p>
      </w:sdtContent>
    </w:sdt>
    <w:p w14:paraId="74A6B107" w14:textId="77777777" w:rsidR="00ED4435" w:rsidRDefault="00ED4435" w:rsidP="00C21A33">
      <w:pPr>
        <w:spacing w:after="0" w:line="240" w:lineRule="auto"/>
        <w:jc w:val="both"/>
      </w:pPr>
    </w:p>
    <w:p w14:paraId="39E2594C" w14:textId="77777777" w:rsidR="00ED4435" w:rsidRDefault="00ED4435" w:rsidP="00C21A33">
      <w:pPr>
        <w:spacing w:after="0" w:line="240" w:lineRule="auto"/>
        <w:jc w:val="both"/>
      </w:pPr>
      <w:r>
        <w:br w:type="page"/>
      </w:r>
    </w:p>
    <w:p w14:paraId="3B8886E9" w14:textId="77777777" w:rsidR="00ED4435" w:rsidRDefault="00E47F08" w:rsidP="00C21A33">
      <w:pPr>
        <w:pStyle w:val="Heading1"/>
        <w:jc w:val="both"/>
      </w:pPr>
      <w:bookmarkStart w:id="0" w:name="_Toc315084447"/>
      <w:bookmarkStart w:id="1" w:name="_Toc450308510"/>
      <w:r>
        <w:lastRenderedPageBreak/>
        <w:t>I</w:t>
      </w:r>
      <w:r w:rsidR="00ED4435">
        <w:t>ntroduction</w:t>
      </w:r>
      <w:bookmarkEnd w:id="0"/>
      <w:bookmarkEnd w:id="1"/>
    </w:p>
    <w:p w14:paraId="7FAC6B5D" w14:textId="77777777" w:rsidR="00ED4435" w:rsidRDefault="00ED4435" w:rsidP="00C21A33">
      <w:pPr>
        <w:spacing w:after="0" w:line="240" w:lineRule="auto"/>
        <w:jc w:val="both"/>
      </w:pPr>
    </w:p>
    <w:p w14:paraId="57DF6E65" w14:textId="1010CA92" w:rsidR="00FA0821" w:rsidRDefault="00A335FC" w:rsidP="00C21A33">
      <w:pPr>
        <w:spacing w:after="0" w:line="240" w:lineRule="auto"/>
        <w:jc w:val="both"/>
      </w:pPr>
      <w:r>
        <w:t xml:space="preserve">The </w:t>
      </w:r>
      <w:r w:rsidR="00FA0821">
        <w:t xml:space="preserve">CFSI established the Conflict Free Smelter Program (CFSP) in order to </w:t>
      </w:r>
      <w:r>
        <w:t xml:space="preserve">cultivate </w:t>
      </w:r>
      <w:r w:rsidR="00FA0821">
        <w:t>transparent mineral supply chains and sustainable corporate engagement in the mineral sector with a view to prevent the extraction and trade of minerals from becoming a source of conflict, human rights abuses, and insecurity.</w:t>
      </w:r>
    </w:p>
    <w:p w14:paraId="451A9342" w14:textId="77777777" w:rsidR="005F460A" w:rsidRDefault="005F460A" w:rsidP="00C21A33">
      <w:pPr>
        <w:spacing w:after="0" w:line="240" w:lineRule="auto"/>
        <w:jc w:val="both"/>
      </w:pPr>
    </w:p>
    <w:p w14:paraId="149FBD02" w14:textId="1603E0FB" w:rsidR="00ED4435" w:rsidRDefault="008D1500" w:rsidP="00C21A33">
      <w:pPr>
        <w:spacing w:after="0" w:line="240" w:lineRule="auto"/>
        <w:jc w:val="both"/>
      </w:pPr>
      <w:r>
        <w:t xml:space="preserve">This protocol was developed as a specific, practical means of validating the </w:t>
      </w:r>
      <w:r w:rsidR="00B913C7">
        <w:t xml:space="preserve">tin and tantalum </w:t>
      </w:r>
      <w:r>
        <w:t>supply chains at the smelt</w:t>
      </w:r>
      <w:r w:rsidR="00B913C7">
        <w:t>er level, the point at which</w:t>
      </w:r>
      <w:r>
        <w:t xml:space="preserve"> mineral is converted into a</w:t>
      </w:r>
      <w:r w:rsidR="00C862AC">
        <w:t xml:space="preserve"> </w:t>
      </w:r>
      <w:r w:rsidR="003F3969">
        <w:t>generic</w:t>
      </w:r>
      <w:r>
        <w:t xml:space="preserve"> metallic product. </w:t>
      </w:r>
      <w:r w:rsidR="00C1130D">
        <w:t xml:space="preserve"> </w:t>
      </w:r>
      <w:r w:rsidR="00C1130D" w:rsidRPr="00F12980">
        <w:rPr>
          <w:rFonts w:cs="Calibri"/>
        </w:rPr>
        <w:t>It follows guidance provided by the final report of the UN Group of Experts to the Security Council, 15 November 2010, and by the</w:t>
      </w:r>
      <w:r w:rsidR="00C1130D">
        <w:t xml:space="preserve"> Organization of Economic Co-operation and Development Due Diligence Guidance for Responsible Supply Chains of Minerals from Conflict-Affected and High-Risk Areas (OECD Guidance)</w:t>
      </w:r>
      <w:r w:rsidR="00C1130D" w:rsidRPr="00342719">
        <w:rPr>
          <w:rFonts w:cs="Calibri"/>
        </w:rPr>
        <w:t>.</w:t>
      </w:r>
      <w:r w:rsidR="005F453F">
        <w:rPr>
          <w:rFonts w:cs="Calibri"/>
        </w:rPr>
        <w:t xml:space="preserve"> </w:t>
      </w:r>
      <w:r w:rsidR="00462464">
        <w:rPr>
          <w:rFonts w:cs="Calibri"/>
        </w:rPr>
        <w:t>The OECD G</w:t>
      </w:r>
      <w:r w:rsidR="005F453F" w:rsidRPr="00F12980">
        <w:rPr>
          <w:rFonts w:cs="Calibri"/>
        </w:rPr>
        <w:t>uidance provide</w:t>
      </w:r>
      <w:r w:rsidR="005F453F">
        <w:rPr>
          <w:rFonts w:cs="Calibri"/>
        </w:rPr>
        <w:t>s</w:t>
      </w:r>
      <w:r w:rsidR="005F453F" w:rsidRPr="00F12980">
        <w:rPr>
          <w:rFonts w:cs="Calibri"/>
        </w:rPr>
        <w:t xml:space="preserve"> a working framework for companies to approach compliance with the due diligence requirements </w:t>
      </w:r>
      <w:r w:rsidR="006940F7">
        <w:rPr>
          <w:rFonts w:cs="Calibri"/>
        </w:rPr>
        <w:t xml:space="preserve">outlined in </w:t>
      </w:r>
      <w:r w:rsidR="005F453F">
        <w:rPr>
          <w:rFonts w:cs="Calibri"/>
        </w:rPr>
        <w:t>existing</w:t>
      </w:r>
      <w:r w:rsidR="006940F7">
        <w:rPr>
          <w:rFonts w:cs="Calibri"/>
        </w:rPr>
        <w:t xml:space="preserve"> regulations </w:t>
      </w:r>
      <w:r w:rsidR="005F453F">
        <w:rPr>
          <w:rFonts w:cs="Calibri"/>
        </w:rPr>
        <w:t>or upcoming legislative</w:t>
      </w:r>
      <w:r w:rsidR="006940F7">
        <w:rPr>
          <w:rFonts w:cs="Calibri"/>
        </w:rPr>
        <w:t xml:space="preserve"> initiatives</w:t>
      </w:r>
      <w:r w:rsidR="005F453F" w:rsidRPr="00F12980">
        <w:rPr>
          <w:rFonts w:cs="Calibri"/>
        </w:rPr>
        <w:t xml:space="preserve">. </w:t>
      </w:r>
      <w:r w:rsidR="005F453F">
        <w:t xml:space="preserve"> </w:t>
      </w:r>
    </w:p>
    <w:p w14:paraId="476E05FA" w14:textId="77777777" w:rsidR="003F28A8" w:rsidRDefault="003F28A8" w:rsidP="00C21A33">
      <w:pPr>
        <w:spacing w:after="0" w:line="240" w:lineRule="auto"/>
        <w:jc w:val="both"/>
      </w:pPr>
    </w:p>
    <w:p w14:paraId="38900263" w14:textId="77777777" w:rsidR="00B913C7" w:rsidRDefault="003F28A8" w:rsidP="00C21A33">
      <w:pPr>
        <w:spacing w:after="0" w:line="240" w:lineRule="auto"/>
        <w:jc w:val="both"/>
      </w:pPr>
      <w:r>
        <w:t>This protocol aims to</w:t>
      </w:r>
      <w:r w:rsidR="00462464">
        <w:t xml:space="preserve"> bring the CFSP validation into alignment with the OECD Guidance. It places increased emphasis on the review of management systems and applies a global definition of Conflict Affected and High-Risk Areas (CAHRAs), including </w:t>
      </w:r>
      <w:r w:rsidR="00B913C7">
        <w:t xml:space="preserve">but not limited to </w:t>
      </w:r>
      <w:r w:rsidR="00462464">
        <w:t xml:space="preserve">countries designated to be high-risk by Section 1502 of the Dodd-Frank Wall Street Reform and Consumer Protection Act. </w:t>
      </w:r>
      <w:r w:rsidR="00462464" w:rsidRPr="00502A81">
        <w:t xml:space="preserve">The validation </w:t>
      </w:r>
      <w:r w:rsidR="006940F7">
        <w:t xml:space="preserve">process </w:t>
      </w:r>
      <w:r w:rsidR="00462464" w:rsidRPr="00502A81">
        <w:t xml:space="preserve">reviews a smelter’s </w:t>
      </w:r>
      <w:r w:rsidR="00BA1AAD" w:rsidRPr="00502A81">
        <w:t xml:space="preserve">supply-chain due diligence </w:t>
      </w:r>
      <w:r w:rsidR="00B07369" w:rsidRPr="00502A81">
        <w:t>activities</w:t>
      </w:r>
      <w:r w:rsidR="00BA1AAD" w:rsidRPr="00502A81">
        <w:t xml:space="preserve"> </w:t>
      </w:r>
      <w:r w:rsidR="00AE53B7" w:rsidRPr="00502A81">
        <w:t xml:space="preserve">of </w:t>
      </w:r>
      <w:r w:rsidR="00462464" w:rsidRPr="00502A81">
        <w:t xml:space="preserve">all </w:t>
      </w:r>
      <w:r w:rsidR="00AE53B7" w:rsidRPr="00502A81">
        <w:t>relevant raw material inputs</w:t>
      </w:r>
      <w:r w:rsidR="00492A6F" w:rsidRPr="00502A81">
        <w:t xml:space="preserve"> and </w:t>
      </w:r>
      <w:r w:rsidR="00462464" w:rsidRPr="00502A81">
        <w:t xml:space="preserve">assesses </w:t>
      </w:r>
      <w:r w:rsidR="00492A6F" w:rsidRPr="00502A81">
        <w:t xml:space="preserve">their alignment with the five-step framework of </w:t>
      </w:r>
      <w:r w:rsidR="006940F7">
        <w:t xml:space="preserve">the </w:t>
      </w:r>
      <w:r w:rsidR="00C1130D" w:rsidRPr="00502A81">
        <w:t>OECD Guidance</w:t>
      </w:r>
      <w:r w:rsidR="00492A6F" w:rsidRPr="00502A81">
        <w:t>.</w:t>
      </w:r>
      <w:r w:rsidR="006F6828" w:rsidRPr="00502A81">
        <w:t xml:space="preserve"> </w:t>
      </w:r>
    </w:p>
    <w:p w14:paraId="490D7204" w14:textId="77777777" w:rsidR="00B913C7" w:rsidRDefault="00B913C7" w:rsidP="00C21A33">
      <w:pPr>
        <w:spacing w:after="0" w:line="240" w:lineRule="auto"/>
        <w:jc w:val="both"/>
      </w:pPr>
    </w:p>
    <w:p w14:paraId="4F22B0B2" w14:textId="07B86BD5" w:rsidR="008D1500" w:rsidRDefault="00462464" w:rsidP="00C21A33">
      <w:pPr>
        <w:spacing w:after="0" w:line="240" w:lineRule="auto"/>
        <w:jc w:val="both"/>
      </w:pPr>
      <w:r w:rsidRPr="00502A81">
        <w:t xml:space="preserve">It </w:t>
      </w:r>
      <w:r w:rsidR="006F6828" w:rsidRPr="00502A81">
        <w:t>includes</w:t>
      </w:r>
      <w:r w:rsidR="00A335FC" w:rsidRPr="00502A81">
        <w:t xml:space="preserve"> an analysis of the </w:t>
      </w:r>
      <w:r w:rsidR="007630D6" w:rsidRPr="00502A81">
        <w:t>smelter’s</w:t>
      </w:r>
      <w:r w:rsidR="008D1500">
        <w:t>:</w:t>
      </w:r>
    </w:p>
    <w:p w14:paraId="3D84BE05" w14:textId="77777777" w:rsidR="006F6828" w:rsidRDefault="006F6828" w:rsidP="00C21A33">
      <w:pPr>
        <w:spacing w:after="0" w:line="240" w:lineRule="auto"/>
        <w:jc w:val="both"/>
      </w:pPr>
    </w:p>
    <w:p w14:paraId="4DB355AC" w14:textId="6780F7BA" w:rsidR="008D5E97" w:rsidRDefault="008D5E97" w:rsidP="006256DB">
      <w:pPr>
        <w:pStyle w:val="ListParagraph"/>
        <w:numPr>
          <w:ilvl w:val="0"/>
          <w:numId w:val="1"/>
        </w:numPr>
        <w:spacing w:after="0" w:line="240" w:lineRule="auto"/>
        <w:jc w:val="both"/>
      </w:pPr>
      <w:r>
        <w:t>Internal Material Control Systems</w:t>
      </w:r>
      <w:r w:rsidR="00502A81">
        <w:t>.</w:t>
      </w:r>
    </w:p>
    <w:p w14:paraId="0633BF7F" w14:textId="77777777" w:rsidR="00C20DCC" w:rsidRDefault="00C20DCC" w:rsidP="00C21A33">
      <w:pPr>
        <w:pStyle w:val="ListParagraph"/>
        <w:spacing w:after="0" w:line="240" w:lineRule="auto"/>
        <w:ind w:left="1080"/>
        <w:jc w:val="both"/>
      </w:pPr>
    </w:p>
    <w:p w14:paraId="1DF0FC73" w14:textId="23880AE5" w:rsidR="004D0D2D" w:rsidRDefault="008D5E97" w:rsidP="006256DB">
      <w:pPr>
        <w:pStyle w:val="ListParagraph"/>
        <w:numPr>
          <w:ilvl w:val="0"/>
          <w:numId w:val="1"/>
        </w:numPr>
        <w:spacing w:after="0" w:line="240" w:lineRule="auto"/>
        <w:jc w:val="both"/>
      </w:pPr>
      <w:r>
        <w:t xml:space="preserve">Internal </w:t>
      </w:r>
      <w:r w:rsidR="000418D1">
        <w:t>M</w:t>
      </w:r>
      <w:r>
        <w:t xml:space="preserve">anagement </w:t>
      </w:r>
      <w:r w:rsidR="000418D1">
        <w:t>S</w:t>
      </w:r>
      <w:r>
        <w:t>ystems</w:t>
      </w:r>
      <w:r w:rsidR="00C20DCC">
        <w:t xml:space="preserve">, including: </w:t>
      </w:r>
    </w:p>
    <w:p w14:paraId="644427C4" w14:textId="6E545374" w:rsidR="00735E81" w:rsidRPr="00331E27" w:rsidRDefault="008D5E97" w:rsidP="006256DB">
      <w:pPr>
        <w:pStyle w:val="ListParagraph"/>
        <w:numPr>
          <w:ilvl w:val="1"/>
          <w:numId w:val="1"/>
        </w:numPr>
        <w:spacing w:after="0" w:line="240" w:lineRule="auto"/>
        <w:jc w:val="both"/>
      </w:pPr>
      <w:r w:rsidRPr="00901F2D">
        <w:t>Conflict Minerals Policy</w:t>
      </w:r>
    </w:p>
    <w:p w14:paraId="78017EC6" w14:textId="24FBAC23" w:rsidR="008D5E97" w:rsidRDefault="008D5E97" w:rsidP="006256DB">
      <w:pPr>
        <w:pStyle w:val="ListParagraph"/>
        <w:numPr>
          <w:ilvl w:val="1"/>
          <w:numId w:val="1"/>
        </w:numPr>
        <w:spacing w:after="0" w:line="240" w:lineRule="auto"/>
        <w:jc w:val="both"/>
      </w:pPr>
      <w:r>
        <w:t>Management Structure</w:t>
      </w:r>
    </w:p>
    <w:p w14:paraId="6C6976B3" w14:textId="014526DA" w:rsidR="008D5E97" w:rsidRDefault="008D5E97" w:rsidP="006256DB">
      <w:pPr>
        <w:pStyle w:val="ListParagraph"/>
        <w:numPr>
          <w:ilvl w:val="1"/>
          <w:numId w:val="1"/>
        </w:numPr>
        <w:spacing w:after="0" w:line="240" w:lineRule="auto"/>
        <w:jc w:val="both"/>
      </w:pPr>
      <w:r>
        <w:t>Supplier Engagement</w:t>
      </w:r>
    </w:p>
    <w:p w14:paraId="64A7DA7B" w14:textId="04A7E163" w:rsidR="007630D6" w:rsidRDefault="00EF72BF" w:rsidP="006256DB">
      <w:pPr>
        <w:pStyle w:val="ListParagraph"/>
        <w:numPr>
          <w:ilvl w:val="1"/>
          <w:numId w:val="1"/>
        </w:numPr>
        <w:spacing w:after="0" w:line="240" w:lineRule="auto"/>
        <w:jc w:val="both"/>
      </w:pPr>
      <w:r>
        <w:t>Supply Chain Control and Transparency</w:t>
      </w:r>
      <w:r w:rsidR="004D0D2D">
        <w:t xml:space="preserve"> </w:t>
      </w:r>
      <w:r w:rsidR="008D5E97">
        <w:t>S</w:t>
      </w:r>
      <w:r w:rsidR="004D0D2D">
        <w:t>ystem</w:t>
      </w:r>
      <w:r w:rsidR="000418D1">
        <w:t>,</w:t>
      </w:r>
      <w:r>
        <w:t xml:space="preserve"> including s</w:t>
      </w:r>
      <w:r w:rsidR="008D1500">
        <w:t>ourcing traceability and origin determination</w:t>
      </w:r>
      <w:r w:rsidR="00502A81">
        <w:t>.</w:t>
      </w:r>
    </w:p>
    <w:p w14:paraId="7B15CE18" w14:textId="77777777" w:rsidR="006F6828" w:rsidRDefault="006F6828" w:rsidP="00C21A33">
      <w:pPr>
        <w:pStyle w:val="ListParagraph"/>
        <w:spacing w:after="0" w:line="240" w:lineRule="auto"/>
        <w:ind w:left="1800"/>
        <w:jc w:val="both"/>
      </w:pPr>
    </w:p>
    <w:p w14:paraId="47C6A051" w14:textId="54F033CA" w:rsidR="004D0D2D" w:rsidRDefault="004D0D2D" w:rsidP="006256DB">
      <w:pPr>
        <w:pStyle w:val="ListParagraph"/>
        <w:numPr>
          <w:ilvl w:val="0"/>
          <w:numId w:val="1"/>
        </w:numPr>
        <w:spacing w:after="0" w:line="240" w:lineRule="auto"/>
        <w:jc w:val="both"/>
      </w:pPr>
      <w:r>
        <w:t>Identification and assessment of supply-chain risk(s)</w:t>
      </w:r>
      <w:r w:rsidR="00502A81">
        <w:t>.</w:t>
      </w:r>
    </w:p>
    <w:p w14:paraId="287A8C40" w14:textId="77777777" w:rsidR="006F6828" w:rsidRDefault="006F6828" w:rsidP="00C21A33">
      <w:pPr>
        <w:pStyle w:val="ListParagraph"/>
        <w:spacing w:after="0" w:line="240" w:lineRule="auto"/>
        <w:ind w:left="1080"/>
        <w:jc w:val="both"/>
      </w:pPr>
    </w:p>
    <w:p w14:paraId="65088A83" w14:textId="1DFFA7E0" w:rsidR="008D1500" w:rsidRDefault="007630D6" w:rsidP="006256DB">
      <w:pPr>
        <w:pStyle w:val="ListParagraph"/>
        <w:numPr>
          <w:ilvl w:val="0"/>
          <w:numId w:val="1"/>
        </w:numPr>
        <w:spacing w:after="0" w:line="240" w:lineRule="auto"/>
        <w:jc w:val="both"/>
      </w:pPr>
      <w:r>
        <w:t xml:space="preserve">Risk management </w:t>
      </w:r>
      <w:r w:rsidR="004D0D2D">
        <w:t xml:space="preserve">program and related </w:t>
      </w:r>
      <w:r>
        <w:t>activities</w:t>
      </w:r>
      <w:r w:rsidR="00502A81">
        <w:t>.</w:t>
      </w:r>
    </w:p>
    <w:p w14:paraId="00634334" w14:textId="77777777" w:rsidR="006F6828" w:rsidRDefault="006F6828" w:rsidP="00C21A33">
      <w:pPr>
        <w:pStyle w:val="ListParagraph"/>
        <w:spacing w:after="0" w:line="240" w:lineRule="auto"/>
        <w:ind w:left="1080"/>
        <w:jc w:val="both"/>
      </w:pPr>
    </w:p>
    <w:p w14:paraId="09BC66A1" w14:textId="1FD6DE47" w:rsidR="004D0D2D" w:rsidRDefault="00C20DCC" w:rsidP="006256DB">
      <w:pPr>
        <w:pStyle w:val="ListParagraph"/>
        <w:numPr>
          <w:ilvl w:val="0"/>
          <w:numId w:val="1"/>
        </w:numPr>
        <w:spacing w:after="0" w:line="240" w:lineRule="auto"/>
        <w:jc w:val="both"/>
      </w:pPr>
      <w:r>
        <w:t xml:space="preserve">Public reporting </w:t>
      </w:r>
      <w:r w:rsidR="004D0D2D">
        <w:t>on supply-chain due diligence</w:t>
      </w:r>
      <w:r w:rsidR="00502A81">
        <w:t>.</w:t>
      </w:r>
    </w:p>
    <w:p w14:paraId="5893E9FF" w14:textId="77777777" w:rsidR="006F6828" w:rsidRDefault="006F6828" w:rsidP="00C21A33">
      <w:pPr>
        <w:spacing w:after="0" w:line="240" w:lineRule="auto"/>
        <w:jc w:val="both"/>
      </w:pPr>
    </w:p>
    <w:p w14:paraId="78D6BC03" w14:textId="77777777" w:rsidR="00F85F3C" w:rsidRDefault="00F85F3C" w:rsidP="00C21A33">
      <w:pPr>
        <w:spacing w:after="0" w:line="240" w:lineRule="auto"/>
        <w:jc w:val="both"/>
      </w:pPr>
    </w:p>
    <w:p w14:paraId="563622E4" w14:textId="51D768BC" w:rsidR="006A2EE4" w:rsidRDefault="00132B87" w:rsidP="00C21A33">
      <w:pPr>
        <w:spacing w:after="0" w:line="240" w:lineRule="auto"/>
        <w:jc w:val="both"/>
      </w:pPr>
      <w:r w:rsidRPr="00132B87">
        <w:t>Steps related to the establishment of strong management systems, collection of supply chain information, and reporting are expected to be implemented by all smelters, regardless of the source of material. Steps related to the mitigation of risks specific to sourcing from CAHRAs are only required to be implemented by smelters sourcing from such areas.</w:t>
      </w:r>
      <w:r>
        <w:t xml:space="preserve"> </w:t>
      </w:r>
      <w:r w:rsidR="00F85F3C">
        <w:t xml:space="preserve">See Table 1 below. </w:t>
      </w:r>
    </w:p>
    <w:p w14:paraId="1FD8D8C7" w14:textId="77777777" w:rsidR="006A2EE4" w:rsidRDefault="006A2EE4" w:rsidP="00C21A33">
      <w:pPr>
        <w:spacing w:after="0" w:line="240" w:lineRule="auto"/>
        <w:jc w:val="both"/>
      </w:pPr>
    </w:p>
    <w:p w14:paraId="615AF25A" w14:textId="77777777" w:rsidR="00F85F3C" w:rsidRDefault="00F85F3C" w:rsidP="00C21A33">
      <w:pPr>
        <w:spacing w:after="0" w:line="240" w:lineRule="auto"/>
        <w:jc w:val="both"/>
      </w:pPr>
    </w:p>
    <w:p w14:paraId="79105E5A" w14:textId="77777777" w:rsidR="00F85F3C" w:rsidRDefault="00F85F3C" w:rsidP="00C21A33">
      <w:pPr>
        <w:spacing w:after="0" w:line="240" w:lineRule="auto"/>
        <w:jc w:val="both"/>
      </w:pPr>
    </w:p>
    <w:p w14:paraId="0400A5F9" w14:textId="77777777" w:rsidR="00F85F3C" w:rsidRDefault="00F85F3C" w:rsidP="00C21A33">
      <w:pPr>
        <w:spacing w:after="0" w:line="240" w:lineRule="auto"/>
        <w:jc w:val="both"/>
      </w:pPr>
    </w:p>
    <w:p w14:paraId="27EBFDED" w14:textId="77777777" w:rsidR="00F85F3C" w:rsidRDefault="00F85F3C" w:rsidP="00C21A33">
      <w:pPr>
        <w:spacing w:after="0" w:line="240" w:lineRule="auto"/>
        <w:jc w:val="both"/>
      </w:pPr>
    </w:p>
    <w:p w14:paraId="237936FB" w14:textId="77777777" w:rsidR="00F85F3C" w:rsidRDefault="00F85F3C" w:rsidP="00C21A33">
      <w:pPr>
        <w:spacing w:after="0" w:line="240" w:lineRule="auto"/>
        <w:jc w:val="both"/>
      </w:pPr>
    </w:p>
    <w:p w14:paraId="7C3EF267" w14:textId="77777777" w:rsidR="00F85F3C" w:rsidRDefault="00F85F3C" w:rsidP="00C21A33">
      <w:pPr>
        <w:spacing w:after="0" w:line="240" w:lineRule="auto"/>
        <w:jc w:val="both"/>
      </w:pPr>
    </w:p>
    <w:p w14:paraId="6DA980B0" w14:textId="73D35208" w:rsidR="005E2F04" w:rsidRDefault="005E61C5" w:rsidP="00F85F3C">
      <w:pPr>
        <w:pStyle w:val="Caption"/>
      </w:pPr>
      <w:r>
        <w:t xml:space="preserve">Table </w:t>
      </w:r>
      <w:fldSimple w:instr=" SEQ Table \* ARABIC ">
        <w:r>
          <w:rPr>
            <w:noProof/>
          </w:rPr>
          <w:t>1</w:t>
        </w:r>
      </w:fldSimple>
      <w:r>
        <w:t>: Applicability of Oecd 5-step framework</w:t>
      </w:r>
    </w:p>
    <w:tbl>
      <w:tblPr>
        <w:tblStyle w:val="TableGrid"/>
        <w:tblW w:w="0" w:type="auto"/>
        <w:tblLook w:val="04A0" w:firstRow="1" w:lastRow="0" w:firstColumn="1" w:lastColumn="0" w:noHBand="0" w:noVBand="1"/>
      </w:tblPr>
      <w:tblGrid>
        <w:gridCol w:w="3936"/>
        <w:gridCol w:w="2759"/>
        <w:gridCol w:w="2881"/>
      </w:tblGrid>
      <w:tr w:rsidR="00D04683" w:rsidRPr="006A2EE4" w14:paraId="0FCD4741" w14:textId="7A579F5E" w:rsidTr="00F85F3C">
        <w:tc>
          <w:tcPr>
            <w:tcW w:w="3936" w:type="dxa"/>
            <w:vMerge w:val="restart"/>
          </w:tcPr>
          <w:p w14:paraId="0710E927" w14:textId="186F53D3" w:rsidR="00D04683" w:rsidRPr="00F85F3C" w:rsidRDefault="00D04683" w:rsidP="00F85F3C">
            <w:pPr>
              <w:jc w:val="center"/>
              <w:rPr>
                <w:b/>
              </w:rPr>
            </w:pPr>
            <w:r w:rsidRPr="00F85F3C">
              <w:rPr>
                <w:b/>
              </w:rPr>
              <w:t>OECD Due Diligence Guidance</w:t>
            </w:r>
          </w:p>
        </w:tc>
        <w:tc>
          <w:tcPr>
            <w:tcW w:w="5640" w:type="dxa"/>
            <w:gridSpan w:val="2"/>
          </w:tcPr>
          <w:p w14:paraId="0E89E3EB" w14:textId="6D73BBDD" w:rsidR="00D04683" w:rsidRPr="00E057B2" w:rsidRDefault="00D04683" w:rsidP="00F85F3C">
            <w:pPr>
              <w:jc w:val="center"/>
              <w:rPr>
                <w:b/>
              </w:rPr>
            </w:pPr>
            <w:r w:rsidRPr="00F85F3C">
              <w:rPr>
                <w:b/>
              </w:rPr>
              <w:t>Application for CFSP Audit</w:t>
            </w:r>
          </w:p>
        </w:tc>
      </w:tr>
      <w:tr w:rsidR="00D04683" w14:paraId="4B18F489" w14:textId="77777777" w:rsidTr="00F85F3C">
        <w:tc>
          <w:tcPr>
            <w:tcW w:w="3936" w:type="dxa"/>
            <w:vMerge/>
          </w:tcPr>
          <w:p w14:paraId="5E1BFB2A" w14:textId="77777777" w:rsidR="00D04683" w:rsidRDefault="00D04683" w:rsidP="00C21A33">
            <w:pPr>
              <w:jc w:val="both"/>
            </w:pPr>
          </w:p>
        </w:tc>
        <w:tc>
          <w:tcPr>
            <w:tcW w:w="2759" w:type="dxa"/>
          </w:tcPr>
          <w:p w14:paraId="727F5A3D" w14:textId="315EF735" w:rsidR="00D04683" w:rsidRDefault="00D04683" w:rsidP="00F85F3C">
            <w:pPr>
              <w:jc w:val="center"/>
            </w:pPr>
            <w:r>
              <w:t>Design of System / Processes</w:t>
            </w:r>
          </w:p>
        </w:tc>
        <w:tc>
          <w:tcPr>
            <w:tcW w:w="2881" w:type="dxa"/>
          </w:tcPr>
          <w:p w14:paraId="1AB5CA27" w14:textId="3838D20E" w:rsidR="00D04683" w:rsidRDefault="00D04683" w:rsidP="00F85F3C">
            <w:pPr>
              <w:jc w:val="center"/>
            </w:pPr>
            <w:r>
              <w:t>Implementation</w:t>
            </w:r>
          </w:p>
        </w:tc>
      </w:tr>
      <w:tr w:rsidR="00E057B2" w14:paraId="6EFFB131" w14:textId="5AF97122" w:rsidTr="00F85F3C">
        <w:tc>
          <w:tcPr>
            <w:tcW w:w="3936" w:type="dxa"/>
          </w:tcPr>
          <w:p w14:paraId="51335544" w14:textId="7221EDB6" w:rsidR="00E057B2" w:rsidRPr="00132B87" w:rsidRDefault="00E057B2" w:rsidP="00C21A33">
            <w:pPr>
              <w:jc w:val="both"/>
            </w:pPr>
            <w:r>
              <w:t xml:space="preserve">Step 1: Strong Management Systems </w:t>
            </w:r>
          </w:p>
        </w:tc>
        <w:tc>
          <w:tcPr>
            <w:tcW w:w="2759" w:type="dxa"/>
          </w:tcPr>
          <w:p w14:paraId="395AE493" w14:textId="51ED3032" w:rsidR="00E057B2" w:rsidRDefault="00E057B2" w:rsidP="00C21A33">
            <w:pPr>
              <w:jc w:val="both"/>
            </w:pPr>
            <w:r>
              <w:t>All smelters</w:t>
            </w:r>
          </w:p>
        </w:tc>
        <w:tc>
          <w:tcPr>
            <w:tcW w:w="2881" w:type="dxa"/>
          </w:tcPr>
          <w:p w14:paraId="2E75F91F" w14:textId="233E86EB" w:rsidR="00E057B2" w:rsidRDefault="00E057B2" w:rsidP="00C21A33">
            <w:pPr>
              <w:jc w:val="both"/>
            </w:pPr>
            <w:r>
              <w:t>All smelters</w:t>
            </w:r>
          </w:p>
        </w:tc>
      </w:tr>
      <w:tr w:rsidR="002A50C4" w14:paraId="5EC54ADC" w14:textId="7EE2F6F2" w:rsidTr="00F85F3C">
        <w:tc>
          <w:tcPr>
            <w:tcW w:w="3936" w:type="dxa"/>
          </w:tcPr>
          <w:p w14:paraId="623DA42D" w14:textId="321FCF2C" w:rsidR="002A50C4" w:rsidRDefault="002A50C4" w:rsidP="00C21A33">
            <w:pPr>
              <w:jc w:val="both"/>
            </w:pPr>
            <w:r>
              <w:t xml:space="preserve">Step 2: Risk Assessment </w:t>
            </w:r>
          </w:p>
        </w:tc>
        <w:tc>
          <w:tcPr>
            <w:tcW w:w="2759" w:type="dxa"/>
          </w:tcPr>
          <w:p w14:paraId="71D04A74" w14:textId="5DF082BF" w:rsidR="002A50C4" w:rsidRDefault="002A50C4" w:rsidP="00C21A33">
            <w:pPr>
              <w:jc w:val="both"/>
            </w:pPr>
            <w:r>
              <w:t>All smelters</w:t>
            </w:r>
          </w:p>
        </w:tc>
        <w:tc>
          <w:tcPr>
            <w:tcW w:w="2881" w:type="dxa"/>
          </w:tcPr>
          <w:p w14:paraId="64289633" w14:textId="712BC6E5" w:rsidR="002A50C4" w:rsidRDefault="002A50C4" w:rsidP="00C21A33">
            <w:pPr>
              <w:jc w:val="both"/>
            </w:pPr>
            <w:r>
              <w:t>All smelters</w:t>
            </w:r>
          </w:p>
        </w:tc>
      </w:tr>
      <w:tr w:rsidR="00E057B2" w14:paraId="3D7066BE" w14:textId="04171F23" w:rsidTr="00F85F3C">
        <w:tc>
          <w:tcPr>
            <w:tcW w:w="3936" w:type="dxa"/>
          </w:tcPr>
          <w:p w14:paraId="51D5CA8A" w14:textId="3A704548" w:rsidR="00E057B2" w:rsidRDefault="00E057B2" w:rsidP="00C21A33">
            <w:pPr>
              <w:jc w:val="both"/>
            </w:pPr>
            <w:r>
              <w:t>Step 3: Risk Mitigation</w:t>
            </w:r>
          </w:p>
        </w:tc>
        <w:tc>
          <w:tcPr>
            <w:tcW w:w="2759" w:type="dxa"/>
          </w:tcPr>
          <w:p w14:paraId="11C7EA33" w14:textId="23BC2E79" w:rsidR="00E057B2" w:rsidRDefault="00E057B2" w:rsidP="00C21A33">
            <w:pPr>
              <w:jc w:val="both"/>
            </w:pPr>
            <w:r>
              <w:t>Smelter sourcing from Level 2, Level 3</w:t>
            </w:r>
            <w:r w:rsidR="00F85F3C">
              <w:t>,</w:t>
            </w:r>
            <w:r>
              <w:t xml:space="preserve"> or Other CAHRAs categories</w:t>
            </w:r>
          </w:p>
        </w:tc>
        <w:tc>
          <w:tcPr>
            <w:tcW w:w="2881" w:type="dxa"/>
          </w:tcPr>
          <w:p w14:paraId="061237D1" w14:textId="1C27AEA4" w:rsidR="00E057B2" w:rsidRDefault="004B3529" w:rsidP="00F85F3C">
            <w:pPr>
              <w:jc w:val="both"/>
            </w:pPr>
            <w:r>
              <w:t>Only if Step 2 identified risks</w:t>
            </w:r>
          </w:p>
        </w:tc>
      </w:tr>
      <w:tr w:rsidR="00E057B2" w14:paraId="3B300817" w14:textId="03F405F3" w:rsidTr="00F85F3C">
        <w:tc>
          <w:tcPr>
            <w:tcW w:w="3936" w:type="dxa"/>
          </w:tcPr>
          <w:p w14:paraId="1C22540D" w14:textId="27090DE2" w:rsidR="00E057B2" w:rsidRDefault="00E057B2" w:rsidP="00C21A33">
            <w:pPr>
              <w:jc w:val="both"/>
            </w:pPr>
            <w:r>
              <w:t>Step 4: Third Party Audit of Due Diligence</w:t>
            </w:r>
          </w:p>
        </w:tc>
        <w:tc>
          <w:tcPr>
            <w:tcW w:w="2759" w:type="dxa"/>
          </w:tcPr>
          <w:p w14:paraId="6BFF4612" w14:textId="7743E842" w:rsidR="00E057B2" w:rsidRDefault="00F85F3C" w:rsidP="00F85F3C">
            <w:pPr>
              <w:jc w:val="both"/>
            </w:pPr>
            <w:r>
              <w:t>Conducted</w:t>
            </w:r>
            <w:r w:rsidR="00E057B2">
              <w:t xml:space="preserve"> by </w:t>
            </w:r>
            <w:r>
              <w:t>the CFSP</w:t>
            </w:r>
          </w:p>
        </w:tc>
        <w:tc>
          <w:tcPr>
            <w:tcW w:w="2881" w:type="dxa"/>
          </w:tcPr>
          <w:p w14:paraId="4394F785" w14:textId="36AA9453" w:rsidR="00E057B2" w:rsidRDefault="00F85F3C" w:rsidP="00C21A33">
            <w:pPr>
              <w:jc w:val="both"/>
            </w:pPr>
            <w:r>
              <w:t>Conducted by the CFSP</w:t>
            </w:r>
          </w:p>
        </w:tc>
      </w:tr>
      <w:tr w:rsidR="00E057B2" w14:paraId="1BC61063" w14:textId="44E884A7" w:rsidTr="00F85F3C">
        <w:tc>
          <w:tcPr>
            <w:tcW w:w="3936" w:type="dxa"/>
          </w:tcPr>
          <w:p w14:paraId="3CB33565" w14:textId="4F88E605" w:rsidR="00E057B2" w:rsidRDefault="00E057B2" w:rsidP="00C21A33">
            <w:pPr>
              <w:jc w:val="both"/>
            </w:pPr>
            <w:r>
              <w:t>Step 5: Reporting on Due Diligence</w:t>
            </w:r>
          </w:p>
        </w:tc>
        <w:tc>
          <w:tcPr>
            <w:tcW w:w="2759" w:type="dxa"/>
          </w:tcPr>
          <w:p w14:paraId="421431C4" w14:textId="791D6C75" w:rsidR="00E057B2" w:rsidRDefault="00F85F3C" w:rsidP="00C21A33">
            <w:pPr>
              <w:jc w:val="both"/>
            </w:pPr>
            <w:r>
              <w:t>All smelters</w:t>
            </w:r>
          </w:p>
        </w:tc>
        <w:tc>
          <w:tcPr>
            <w:tcW w:w="2881" w:type="dxa"/>
          </w:tcPr>
          <w:p w14:paraId="2735E49E" w14:textId="766866BA" w:rsidR="00E057B2" w:rsidRDefault="004B3529" w:rsidP="00C21A33">
            <w:pPr>
              <w:jc w:val="both"/>
            </w:pPr>
            <w:r>
              <w:t>All smelters</w:t>
            </w:r>
          </w:p>
        </w:tc>
      </w:tr>
    </w:tbl>
    <w:p w14:paraId="75E56303" w14:textId="77777777" w:rsidR="006A2EE4" w:rsidRDefault="006A2EE4" w:rsidP="00C21A33">
      <w:pPr>
        <w:spacing w:after="0" w:line="240" w:lineRule="auto"/>
        <w:jc w:val="both"/>
      </w:pPr>
    </w:p>
    <w:p w14:paraId="3E5FBD6A" w14:textId="44F89245" w:rsidR="00C1130D" w:rsidRDefault="00C1130D" w:rsidP="00C21A33">
      <w:pPr>
        <w:spacing w:after="0" w:line="240" w:lineRule="auto"/>
        <w:jc w:val="both"/>
      </w:pPr>
      <w:r>
        <w:t xml:space="preserve">Downstream companies using the tin and tantalum </w:t>
      </w:r>
      <w:r w:rsidR="00C20DCC">
        <w:t>processed</w:t>
      </w:r>
      <w:r>
        <w:t xml:space="preserve"> by smelters audited to this protocol can utilize the outcome of a CFSP audit as a means of demonstrating reasonable due diligence and country of origin inquiry.</w:t>
      </w:r>
    </w:p>
    <w:p w14:paraId="7AB64AC7" w14:textId="77777777" w:rsidR="00C1130D" w:rsidRDefault="00C1130D" w:rsidP="00C21A33">
      <w:pPr>
        <w:spacing w:after="0" w:line="240" w:lineRule="auto"/>
        <w:jc w:val="both"/>
      </w:pPr>
    </w:p>
    <w:p w14:paraId="13B6B901" w14:textId="77777777" w:rsidR="008D1500" w:rsidRDefault="00CB1558" w:rsidP="00C21A33">
      <w:pPr>
        <w:spacing w:after="0" w:line="240" w:lineRule="auto"/>
        <w:jc w:val="both"/>
      </w:pPr>
      <w:r>
        <w:t>F</w:t>
      </w:r>
      <w:r w:rsidRPr="00700A67">
        <w:t>o</w:t>
      </w:r>
      <w:r w:rsidRPr="00700A67">
        <w:rPr>
          <w:spacing w:val="-2"/>
        </w:rPr>
        <w:t>l</w:t>
      </w:r>
      <w:r w:rsidRPr="00700A67">
        <w:t>lo</w:t>
      </w:r>
      <w:r w:rsidRPr="00700A67">
        <w:rPr>
          <w:spacing w:val="-2"/>
        </w:rPr>
        <w:t>w</w:t>
      </w:r>
      <w:r w:rsidRPr="00700A67">
        <w:t>ing</w:t>
      </w:r>
      <w:r w:rsidRPr="00700A67">
        <w:rPr>
          <w:spacing w:val="14"/>
        </w:rPr>
        <w:t xml:space="preserve"> </w:t>
      </w:r>
      <w:r>
        <w:rPr>
          <w:spacing w:val="14"/>
        </w:rPr>
        <w:t xml:space="preserve">the </w:t>
      </w:r>
      <w:r w:rsidRPr="00700A67">
        <w:rPr>
          <w:spacing w:val="-2"/>
        </w:rPr>
        <w:t>O</w:t>
      </w:r>
      <w:r w:rsidRPr="00700A67">
        <w:t>E</w:t>
      </w:r>
      <w:r w:rsidRPr="00700A67">
        <w:rPr>
          <w:spacing w:val="-2"/>
        </w:rPr>
        <w:t>C</w:t>
      </w:r>
      <w:r w:rsidRPr="00700A67">
        <w:t xml:space="preserve">D </w:t>
      </w:r>
      <w:r w:rsidRPr="00700A67">
        <w:rPr>
          <w:spacing w:val="-2"/>
        </w:rPr>
        <w:t>G</w:t>
      </w:r>
      <w:r w:rsidRPr="00700A67">
        <w:t>uidan</w:t>
      </w:r>
      <w:r w:rsidRPr="00700A67">
        <w:rPr>
          <w:spacing w:val="-2"/>
        </w:rPr>
        <w:t>c</w:t>
      </w:r>
      <w:r w:rsidRPr="00700A67">
        <w:t>e,</w:t>
      </w:r>
      <w:r w:rsidRPr="00700A67">
        <w:rPr>
          <w:spacing w:val="19"/>
        </w:rPr>
        <w:t xml:space="preserve"> </w:t>
      </w:r>
      <w:r w:rsidRPr="00700A67">
        <w:rPr>
          <w:spacing w:val="-2"/>
        </w:rPr>
        <w:t>a</w:t>
      </w:r>
      <w:r w:rsidRPr="00700A67">
        <w:t>ud</w:t>
      </w:r>
      <w:r w:rsidRPr="00700A67">
        <w:rPr>
          <w:spacing w:val="-2"/>
        </w:rPr>
        <w:t>i</w:t>
      </w:r>
      <w:r w:rsidRPr="00700A67">
        <w:t>ts</w:t>
      </w:r>
      <w:r w:rsidRPr="00700A67">
        <w:rPr>
          <w:spacing w:val="17"/>
        </w:rPr>
        <w:t xml:space="preserve"> </w:t>
      </w:r>
      <w:r w:rsidRPr="00700A67">
        <w:rPr>
          <w:spacing w:val="-2"/>
        </w:rPr>
        <w:t>w</w:t>
      </w:r>
      <w:r w:rsidRPr="00700A67">
        <w:t>i</w:t>
      </w:r>
      <w:r w:rsidRPr="00700A67">
        <w:rPr>
          <w:spacing w:val="-2"/>
        </w:rPr>
        <w:t>l</w:t>
      </w:r>
      <w:r w:rsidRPr="00700A67">
        <w:t>l</w:t>
      </w:r>
      <w:r w:rsidRPr="00700A67">
        <w:rPr>
          <w:spacing w:val="20"/>
        </w:rPr>
        <w:t xml:space="preserve"> </w:t>
      </w:r>
      <w:r w:rsidRPr="00700A67">
        <w:rPr>
          <w:spacing w:val="-3"/>
        </w:rPr>
        <w:t>b</w:t>
      </w:r>
      <w:r w:rsidRPr="00700A67">
        <w:t>e</w:t>
      </w:r>
      <w:r w:rsidRPr="00700A67">
        <w:rPr>
          <w:spacing w:val="19"/>
        </w:rPr>
        <w:t xml:space="preserve"> </w:t>
      </w:r>
      <w:r w:rsidRPr="00700A67">
        <w:rPr>
          <w:spacing w:val="-2"/>
        </w:rPr>
        <w:t>c</w:t>
      </w:r>
      <w:r w:rsidRPr="00700A67">
        <w:t>onduc</w:t>
      </w:r>
      <w:r w:rsidRPr="00700A67">
        <w:rPr>
          <w:spacing w:val="-2"/>
        </w:rPr>
        <w:t>t</w:t>
      </w:r>
      <w:r w:rsidRPr="00700A67">
        <w:t>ed</w:t>
      </w:r>
      <w:r w:rsidRPr="00700A67">
        <w:rPr>
          <w:spacing w:val="17"/>
        </w:rPr>
        <w:t xml:space="preserve"> </w:t>
      </w:r>
      <w:r w:rsidRPr="00700A67">
        <w:t>in</w:t>
      </w:r>
      <w:r w:rsidRPr="00700A67">
        <w:rPr>
          <w:spacing w:val="16"/>
        </w:rPr>
        <w:t xml:space="preserve"> </w:t>
      </w:r>
      <w:r w:rsidRPr="00700A67">
        <w:t>acc</w:t>
      </w:r>
      <w:r w:rsidRPr="00700A67">
        <w:rPr>
          <w:spacing w:val="-2"/>
        </w:rPr>
        <w:t>o</w:t>
      </w:r>
      <w:r w:rsidRPr="00700A67">
        <w:t>rd</w:t>
      </w:r>
      <w:r w:rsidRPr="00700A67">
        <w:rPr>
          <w:spacing w:val="-2"/>
        </w:rPr>
        <w:t>a</w:t>
      </w:r>
      <w:r w:rsidRPr="00700A67">
        <w:t>nce</w:t>
      </w:r>
      <w:r w:rsidRPr="00700A67">
        <w:rPr>
          <w:spacing w:val="17"/>
        </w:rPr>
        <w:t xml:space="preserve"> </w:t>
      </w:r>
      <w:r w:rsidRPr="00700A67">
        <w:rPr>
          <w:spacing w:val="-2"/>
        </w:rPr>
        <w:t>wi</w:t>
      </w:r>
      <w:r w:rsidRPr="00700A67">
        <w:t>th</w:t>
      </w:r>
      <w:r w:rsidRPr="00700A67">
        <w:rPr>
          <w:spacing w:val="20"/>
        </w:rPr>
        <w:t xml:space="preserve"> </w:t>
      </w:r>
      <w:r w:rsidRPr="00700A67">
        <w:t>th</w:t>
      </w:r>
      <w:r w:rsidRPr="00700A67">
        <w:rPr>
          <w:spacing w:val="-2"/>
        </w:rPr>
        <w:t>i</w:t>
      </w:r>
      <w:r w:rsidRPr="00700A67">
        <w:t>rd</w:t>
      </w:r>
      <w:r w:rsidRPr="00700A67">
        <w:rPr>
          <w:spacing w:val="19"/>
        </w:rPr>
        <w:t xml:space="preserve"> </w:t>
      </w:r>
      <w:r w:rsidRPr="00700A67">
        <w:rPr>
          <w:spacing w:val="-3"/>
        </w:rPr>
        <w:t>p</w:t>
      </w:r>
      <w:r w:rsidRPr="00700A67">
        <w:t>a</w:t>
      </w:r>
      <w:r w:rsidRPr="00700A67">
        <w:rPr>
          <w:spacing w:val="-2"/>
        </w:rPr>
        <w:t>r</w:t>
      </w:r>
      <w:r w:rsidRPr="00700A67">
        <w:t>ty</w:t>
      </w:r>
      <w:r w:rsidRPr="00700A67">
        <w:rPr>
          <w:spacing w:val="16"/>
        </w:rPr>
        <w:t xml:space="preserve"> </w:t>
      </w:r>
      <w:r w:rsidRPr="00700A67">
        <w:t>aud</w:t>
      </w:r>
      <w:r w:rsidRPr="00700A67">
        <w:rPr>
          <w:spacing w:val="-2"/>
        </w:rPr>
        <w:t>i</w:t>
      </w:r>
      <w:r w:rsidRPr="00700A67">
        <w:t>t</w:t>
      </w:r>
      <w:r w:rsidRPr="00700A67">
        <w:rPr>
          <w:spacing w:val="-2"/>
        </w:rPr>
        <w:t>i</w:t>
      </w:r>
      <w:r w:rsidRPr="00700A67">
        <w:t>ng</w:t>
      </w:r>
      <w:r w:rsidRPr="00700A67">
        <w:rPr>
          <w:spacing w:val="16"/>
        </w:rPr>
        <w:t xml:space="preserve"> </w:t>
      </w:r>
      <w:r w:rsidRPr="00700A67">
        <w:t>req</w:t>
      </w:r>
      <w:r w:rsidRPr="00700A67">
        <w:rPr>
          <w:spacing w:val="-2"/>
        </w:rPr>
        <w:t>u</w:t>
      </w:r>
      <w:r w:rsidRPr="00700A67">
        <w:t>ire</w:t>
      </w:r>
      <w:r w:rsidRPr="00700A67">
        <w:rPr>
          <w:spacing w:val="-4"/>
        </w:rPr>
        <w:t>m</w:t>
      </w:r>
      <w:r w:rsidRPr="00700A67">
        <w:t>en</w:t>
      </w:r>
      <w:r w:rsidRPr="00700A67">
        <w:rPr>
          <w:spacing w:val="1"/>
        </w:rPr>
        <w:t>t</w:t>
      </w:r>
      <w:r w:rsidRPr="00700A67">
        <w:t>s</w:t>
      </w:r>
      <w:r w:rsidRPr="00700A67">
        <w:rPr>
          <w:spacing w:val="17"/>
        </w:rPr>
        <w:t xml:space="preserve"> </w:t>
      </w:r>
      <w:r w:rsidRPr="00700A67">
        <w:t>of</w:t>
      </w:r>
      <w:r w:rsidRPr="00700A67">
        <w:rPr>
          <w:spacing w:val="20"/>
        </w:rPr>
        <w:t xml:space="preserve"> </w:t>
      </w:r>
      <w:r w:rsidRPr="00700A67">
        <w:rPr>
          <w:spacing w:val="-4"/>
        </w:rPr>
        <w:t>I</w:t>
      </w:r>
      <w:r w:rsidRPr="00700A67">
        <w:t>SO 19011.</w:t>
      </w:r>
    </w:p>
    <w:p w14:paraId="214D9F9D" w14:textId="77777777" w:rsidR="00C46D04" w:rsidRDefault="00C46D04" w:rsidP="00C21A33">
      <w:pPr>
        <w:spacing w:after="0" w:line="240" w:lineRule="auto"/>
        <w:jc w:val="both"/>
      </w:pPr>
    </w:p>
    <w:p w14:paraId="39F104EE" w14:textId="77777777" w:rsidR="00C46D04" w:rsidRDefault="00C46D04" w:rsidP="00C21A33">
      <w:pPr>
        <w:spacing w:after="0" w:line="240" w:lineRule="auto"/>
        <w:jc w:val="both"/>
      </w:pPr>
    </w:p>
    <w:p w14:paraId="63E4270A" w14:textId="77777777" w:rsidR="008D1500" w:rsidRDefault="008D1500" w:rsidP="00C21A33">
      <w:pPr>
        <w:spacing w:after="0" w:line="240" w:lineRule="auto"/>
        <w:jc w:val="both"/>
      </w:pPr>
      <w:r>
        <w:br w:type="page"/>
      </w:r>
    </w:p>
    <w:p w14:paraId="21578F3F" w14:textId="77777777" w:rsidR="00716C45" w:rsidRDefault="00716C45" w:rsidP="00C21A33">
      <w:pPr>
        <w:spacing w:after="0" w:line="240" w:lineRule="auto"/>
        <w:jc w:val="both"/>
      </w:pPr>
    </w:p>
    <w:p w14:paraId="0CF37E08" w14:textId="6B2D4373" w:rsidR="00477635" w:rsidRDefault="00CA5254" w:rsidP="00C21A33">
      <w:pPr>
        <w:pStyle w:val="Heading1"/>
        <w:jc w:val="both"/>
      </w:pPr>
      <w:bookmarkStart w:id="2" w:name="_Toc450308511"/>
      <w:r>
        <w:t>Cross-Recognition</w:t>
      </w:r>
      <w:bookmarkEnd w:id="2"/>
    </w:p>
    <w:p w14:paraId="155CBBFF" w14:textId="77777777" w:rsidR="00EC4373" w:rsidRDefault="00EC4373" w:rsidP="00C21A33">
      <w:pPr>
        <w:spacing w:after="0" w:line="240" w:lineRule="auto"/>
        <w:jc w:val="both"/>
        <w:rPr>
          <w:rFonts w:cs="Calibri"/>
        </w:rPr>
      </w:pPr>
    </w:p>
    <w:p w14:paraId="0E0C9FD7" w14:textId="345EAA3B" w:rsidR="00EC4373" w:rsidRPr="00F12980" w:rsidRDefault="00EC4373" w:rsidP="00C21A33">
      <w:pPr>
        <w:spacing w:after="0" w:line="240" w:lineRule="auto"/>
        <w:jc w:val="both"/>
        <w:rPr>
          <w:rFonts w:cs="Calibri"/>
        </w:rPr>
      </w:pPr>
      <w:r w:rsidRPr="00F12980">
        <w:rPr>
          <w:rFonts w:cs="Calibri"/>
        </w:rPr>
        <w:t xml:space="preserve">In some cases, CFSP may evaluate the </w:t>
      </w:r>
      <w:r w:rsidR="00734AA9">
        <w:rPr>
          <w:rFonts w:cs="Calibri"/>
        </w:rPr>
        <w:t>cross-recognition</w:t>
      </w:r>
      <w:r w:rsidR="00734AA9" w:rsidRPr="00F12980">
        <w:rPr>
          <w:rFonts w:cs="Calibri"/>
        </w:rPr>
        <w:t xml:space="preserve"> </w:t>
      </w:r>
      <w:r w:rsidRPr="00F12980">
        <w:rPr>
          <w:rFonts w:cs="Calibri"/>
        </w:rPr>
        <w:t xml:space="preserve">of other </w:t>
      </w:r>
      <w:r w:rsidR="00B913C7">
        <w:rPr>
          <w:rFonts w:cs="Calibri"/>
        </w:rPr>
        <w:t xml:space="preserve">smelter/refiner third party </w:t>
      </w:r>
      <w:r>
        <w:rPr>
          <w:rFonts w:cs="Calibri"/>
        </w:rPr>
        <w:t>auditing programs</w:t>
      </w:r>
      <w:r w:rsidR="00AC2B36">
        <w:rPr>
          <w:rFonts w:cs="Calibri"/>
        </w:rPr>
        <w:t xml:space="preserve"> and recognize these other programs as meeting the standards set forth in this audit protocol</w:t>
      </w:r>
      <w:r w:rsidR="00B913C7">
        <w:rPr>
          <w:rFonts w:cs="Calibri"/>
        </w:rPr>
        <w:t>.</w:t>
      </w:r>
      <w:r w:rsidR="00C20DCC">
        <w:rPr>
          <w:rStyle w:val="FootnoteReference"/>
          <w:rFonts w:cs="Calibri"/>
        </w:rPr>
        <w:footnoteReference w:id="2"/>
      </w:r>
    </w:p>
    <w:p w14:paraId="580DBFFC" w14:textId="0BF0A3BC" w:rsidR="008D1500" w:rsidRDefault="008D1500" w:rsidP="00C21A33">
      <w:pPr>
        <w:spacing w:after="0" w:line="240" w:lineRule="auto"/>
        <w:jc w:val="both"/>
      </w:pPr>
    </w:p>
    <w:p w14:paraId="228B12BF" w14:textId="77777777" w:rsidR="008D1500" w:rsidRDefault="00E47F08" w:rsidP="00C21A33">
      <w:pPr>
        <w:pStyle w:val="Heading1"/>
        <w:jc w:val="both"/>
      </w:pPr>
      <w:bookmarkStart w:id="3" w:name="_Toc315084450"/>
      <w:bookmarkStart w:id="4" w:name="_Toc450308512"/>
      <w:r>
        <w:t>A</w:t>
      </w:r>
      <w:r w:rsidR="008D1500">
        <w:t>pplication</w:t>
      </w:r>
      <w:bookmarkEnd w:id="3"/>
      <w:bookmarkEnd w:id="4"/>
    </w:p>
    <w:p w14:paraId="4C5AE7F4" w14:textId="77777777" w:rsidR="008D1500" w:rsidRDefault="008D1500" w:rsidP="00C21A33">
      <w:pPr>
        <w:spacing w:after="0" w:line="240" w:lineRule="auto"/>
        <w:jc w:val="both"/>
      </w:pPr>
    </w:p>
    <w:p w14:paraId="568148D1" w14:textId="5D25C473" w:rsidR="008D1500" w:rsidRDefault="008D1500" w:rsidP="00C21A33">
      <w:pPr>
        <w:spacing w:after="0" w:line="240" w:lineRule="auto"/>
        <w:jc w:val="both"/>
      </w:pPr>
      <w:r>
        <w:t>The CFS</w:t>
      </w:r>
      <w:r w:rsidR="00AC2B36">
        <w:t>P</w:t>
      </w:r>
      <w:r>
        <w:t xml:space="preserve"> audit is available to all tin</w:t>
      </w:r>
      <w:r w:rsidR="00FB0479">
        <w:t xml:space="preserve"> and</w:t>
      </w:r>
      <w:r>
        <w:t xml:space="preserve"> tantalum</w:t>
      </w:r>
      <w:r w:rsidR="00052521">
        <w:t xml:space="preserve"> </w:t>
      </w:r>
      <w:r>
        <w:t>smelters that meet the following conditions:</w:t>
      </w:r>
    </w:p>
    <w:p w14:paraId="38D35736" w14:textId="3E29C656" w:rsidR="008D1500" w:rsidRDefault="008D1500" w:rsidP="006256DB">
      <w:pPr>
        <w:pStyle w:val="ListParagraph"/>
        <w:numPr>
          <w:ilvl w:val="0"/>
          <w:numId w:val="2"/>
        </w:numPr>
        <w:spacing w:after="0" w:line="240" w:lineRule="auto"/>
        <w:jc w:val="both"/>
      </w:pPr>
      <w:r>
        <w:t>Meet the definition of a tin</w:t>
      </w:r>
      <w:r w:rsidR="00547958">
        <w:t xml:space="preserve"> or</w:t>
      </w:r>
      <w:r w:rsidR="00052521">
        <w:t xml:space="preserve"> </w:t>
      </w:r>
      <w:r>
        <w:t>tantalum</w:t>
      </w:r>
      <w:r w:rsidR="00052521">
        <w:t xml:space="preserve"> </w:t>
      </w:r>
      <w:r>
        <w:t xml:space="preserve">smelter </w:t>
      </w:r>
      <w:r w:rsidRPr="0064150D">
        <w:t xml:space="preserve">as defined in </w:t>
      </w:r>
      <w:r w:rsidR="00EE1E9F" w:rsidRPr="0064150D">
        <w:t>Section VI.1</w:t>
      </w:r>
      <w:r w:rsidR="0065700E" w:rsidRPr="0064150D">
        <w:t>.</w:t>
      </w:r>
    </w:p>
    <w:p w14:paraId="1FF3A66F" w14:textId="7B874C84" w:rsidR="0065700E" w:rsidRDefault="0065700E" w:rsidP="006256DB">
      <w:pPr>
        <w:pStyle w:val="ListParagraph"/>
        <w:numPr>
          <w:ilvl w:val="0"/>
          <w:numId w:val="2"/>
        </w:numPr>
        <w:spacing w:after="0" w:line="240" w:lineRule="auto"/>
        <w:jc w:val="both"/>
      </w:pPr>
      <w:r>
        <w:t xml:space="preserve">Subject each individual </w:t>
      </w:r>
      <w:r w:rsidR="00C21A33">
        <w:t>production site/</w:t>
      </w:r>
      <w:r>
        <w:t>facility seeking validation to a</w:t>
      </w:r>
      <w:r w:rsidR="00C20DCC">
        <w:t>n individual</w:t>
      </w:r>
      <w:r>
        <w:t xml:space="preserve"> audit.</w:t>
      </w:r>
    </w:p>
    <w:p w14:paraId="7D45E39C" w14:textId="36F464A4" w:rsidR="008203FB" w:rsidRPr="008203FB" w:rsidRDefault="0065700E" w:rsidP="006256DB">
      <w:pPr>
        <w:pStyle w:val="ListParagraph"/>
        <w:numPr>
          <w:ilvl w:val="0"/>
          <w:numId w:val="2"/>
        </w:numPr>
        <w:spacing w:after="0" w:line="240" w:lineRule="auto"/>
        <w:jc w:val="both"/>
      </w:pPr>
      <w:r w:rsidRPr="00F12980">
        <w:rPr>
          <w:rFonts w:cs="Calibri"/>
        </w:rPr>
        <w:t xml:space="preserve">Allow all organizational units involved in the </w:t>
      </w:r>
      <w:r>
        <w:rPr>
          <w:rFonts w:cs="Calibri"/>
        </w:rPr>
        <w:t>smelter</w:t>
      </w:r>
      <w:r w:rsidRPr="00F12980">
        <w:rPr>
          <w:rFonts w:cs="Calibri"/>
        </w:rPr>
        <w:t xml:space="preserve">’s supply chain due diligence measures to be </w:t>
      </w:r>
      <w:r w:rsidR="00BC2BB3">
        <w:rPr>
          <w:rFonts w:cs="Calibri"/>
        </w:rPr>
        <w:t>assessed</w:t>
      </w:r>
      <w:r w:rsidRPr="00F12980">
        <w:rPr>
          <w:rFonts w:cs="Calibri"/>
        </w:rPr>
        <w:t xml:space="preserve"> during the audit.</w:t>
      </w:r>
    </w:p>
    <w:p w14:paraId="5158DA2A" w14:textId="3E920A70" w:rsidR="00AC2B36" w:rsidRDefault="00AC2B36" w:rsidP="006256DB">
      <w:pPr>
        <w:pStyle w:val="ListParagraph"/>
        <w:numPr>
          <w:ilvl w:val="0"/>
          <w:numId w:val="2"/>
        </w:numPr>
        <w:spacing w:after="0" w:line="240" w:lineRule="auto"/>
        <w:jc w:val="both"/>
      </w:pPr>
      <w:r w:rsidRPr="008203FB">
        <w:rPr>
          <w:rFonts w:cs="Calibri"/>
        </w:rPr>
        <w:t>S</w:t>
      </w:r>
      <w:r w:rsidRPr="00756716">
        <w:rPr>
          <w:rFonts w:cs="Calibri"/>
        </w:rPr>
        <w:t xml:space="preserve">ign the appropriate agreements (e.g. Non-Disclosure Agreement and </w:t>
      </w:r>
      <w:r w:rsidRPr="00B943A7">
        <w:rPr>
          <w:rFonts w:cs="Calibri"/>
        </w:rPr>
        <w:t>Audi</w:t>
      </w:r>
      <w:r w:rsidRPr="00F414D3">
        <w:rPr>
          <w:rFonts w:cs="Calibri"/>
        </w:rPr>
        <w:t>tee Agreement)</w:t>
      </w:r>
      <w:r w:rsidR="00502A81">
        <w:rPr>
          <w:rFonts w:cs="Calibri"/>
        </w:rPr>
        <w:t>.</w:t>
      </w:r>
    </w:p>
    <w:p w14:paraId="1C7C0CBD" w14:textId="03A73073" w:rsidR="008D1500" w:rsidRDefault="008D1500" w:rsidP="006256DB">
      <w:pPr>
        <w:pStyle w:val="ListParagraph"/>
        <w:numPr>
          <w:ilvl w:val="0"/>
          <w:numId w:val="2"/>
        </w:numPr>
        <w:spacing w:after="0" w:line="240" w:lineRule="auto"/>
        <w:jc w:val="both"/>
      </w:pPr>
      <w:r>
        <w:t>Agree to fund the audit, or retain other accessible funding to pay for the audit</w:t>
      </w:r>
      <w:r w:rsidR="00502A81">
        <w:t>.</w:t>
      </w:r>
    </w:p>
    <w:p w14:paraId="68ACB916" w14:textId="30045393" w:rsidR="0065700E" w:rsidRDefault="0065700E" w:rsidP="006256DB">
      <w:pPr>
        <w:pStyle w:val="ListParagraph"/>
        <w:numPr>
          <w:ilvl w:val="0"/>
          <w:numId w:val="2"/>
        </w:numPr>
        <w:spacing w:after="0" w:line="240" w:lineRule="auto"/>
        <w:jc w:val="both"/>
      </w:pPr>
      <w:r>
        <w:t>Agree to publish a conflict minerals policy</w:t>
      </w:r>
      <w:r w:rsidR="008203FB">
        <w:t>.</w:t>
      </w:r>
    </w:p>
    <w:p w14:paraId="02D37B98" w14:textId="7C3352B9" w:rsidR="0065700E" w:rsidRDefault="008203FB" w:rsidP="006256DB">
      <w:pPr>
        <w:pStyle w:val="ListParagraph"/>
        <w:numPr>
          <w:ilvl w:val="0"/>
          <w:numId w:val="2"/>
        </w:numPr>
        <w:spacing w:after="0" w:line="240" w:lineRule="auto"/>
        <w:jc w:val="both"/>
      </w:pPr>
      <w:r>
        <w:t>Agre</w:t>
      </w:r>
      <w:r w:rsidR="00C20DCC">
        <w:t xml:space="preserve">e to publish </w:t>
      </w:r>
      <w:r>
        <w:t xml:space="preserve">audit </w:t>
      </w:r>
      <w:r w:rsidR="00C20DCC">
        <w:t xml:space="preserve">summary </w:t>
      </w:r>
      <w:r>
        <w:t>reports with due regard taken to business confidentiality and other competitive concerns.</w:t>
      </w:r>
      <w:r w:rsidR="003876BC">
        <w:t xml:space="preserve"> </w:t>
      </w:r>
    </w:p>
    <w:p w14:paraId="7CF09AF1" w14:textId="4F40A3C4" w:rsidR="008D1500" w:rsidRDefault="008D1500" w:rsidP="00C21A33">
      <w:pPr>
        <w:spacing w:after="0" w:line="240" w:lineRule="auto"/>
        <w:jc w:val="both"/>
      </w:pPr>
    </w:p>
    <w:p w14:paraId="448B1AC3" w14:textId="051C7A60" w:rsidR="00716C45" w:rsidRDefault="00E47F08" w:rsidP="00C21A33">
      <w:pPr>
        <w:pStyle w:val="Heading1"/>
        <w:jc w:val="both"/>
      </w:pPr>
      <w:bookmarkStart w:id="5" w:name="_Toc315084451"/>
      <w:bookmarkStart w:id="6" w:name="_Toc450308513"/>
      <w:r>
        <w:t>D</w:t>
      </w:r>
      <w:r w:rsidR="008D1500">
        <w:t>isclaimers</w:t>
      </w:r>
      <w:bookmarkEnd w:id="5"/>
      <w:bookmarkEnd w:id="6"/>
    </w:p>
    <w:p w14:paraId="59878182" w14:textId="77777777" w:rsidR="00352A9B" w:rsidRDefault="00352A9B" w:rsidP="00C21A33">
      <w:pPr>
        <w:spacing w:after="0" w:line="240" w:lineRule="auto"/>
        <w:jc w:val="both"/>
      </w:pPr>
    </w:p>
    <w:p w14:paraId="68F55952" w14:textId="1B4438AF" w:rsidR="00B676B4" w:rsidRDefault="00B676B4" w:rsidP="00C21A33">
      <w:pPr>
        <w:spacing w:after="0" w:line="240" w:lineRule="auto"/>
        <w:jc w:val="both"/>
      </w:pPr>
      <w:r w:rsidRPr="00716F58">
        <w:t>Th</w:t>
      </w:r>
      <w:r w:rsidR="00C20DCC">
        <w:t>e CFSP and this protocol follow</w:t>
      </w:r>
      <w:r w:rsidRPr="00716F58">
        <w:t xml:space="preserve"> the ISO 19011 auditing standard in conducting an independent</w:t>
      </w:r>
      <w:r w:rsidR="00BD3808">
        <w:t xml:space="preserve"> third</w:t>
      </w:r>
      <w:r w:rsidRPr="00716F58">
        <w:t xml:space="preserve"> party audit. Auditor shall follow reasonable methods to conduct the validation of the </w:t>
      </w:r>
      <w:r w:rsidR="0043290E">
        <w:t>smelter’s</w:t>
      </w:r>
      <w:r w:rsidR="0043290E" w:rsidRPr="00716F58">
        <w:t xml:space="preserve"> </w:t>
      </w:r>
      <w:r w:rsidR="008203FB">
        <w:t>management system</w:t>
      </w:r>
      <w:r w:rsidRPr="00716F58">
        <w:t xml:space="preserve"> according to the sampling criteria established in this protocol.  Typically, not all transactions will be validated.</w:t>
      </w:r>
      <w:r w:rsidR="00B95874">
        <w:t xml:space="preserve"> </w:t>
      </w:r>
      <w:r w:rsidR="00B95874" w:rsidRPr="00B95874">
        <w:t>When necessary, the auditor may need to draw compliance conclusions with consideration for the data available, the systems and processes in place, and the percent of missing documentation relative</w:t>
      </w:r>
      <w:r w:rsidR="00B95874">
        <w:t xml:space="preserve"> to the total material processed.</w:t>
      </w:r>
    </w:p>
    <w:p w14:paraId="0ADC3CC4" w14:textId="77777777" w:rsidR="00716C45" w:rsidRDefault="00716C45" w:rsidP="00C21A33">
      <w:pPr>
        <w:spacing w:after="0" w:line="240" w:lineRule="auto"/>
        <w:jc w:val="both"/>
      </w:pPr>
    </w:p>
    <w:p w14:paraId="233F4AAC" w14:textId="4FF661D7" w:rsidR="00C20DCC" w:rsidRDefault="00B676B4" w:rsidP="00C21A33">
      <w:pPr>
        <w:spacing w:after="0" w:line="240" w:lineRule="auto"/>
        <w:jc w:val="both"/>
      </w:pPr>
      <w:r>
        <w:t xml:space="preserve">Country of Origin and </w:t>
      </w:r>
      <w:r w:rsidR="00BD3808">
        <w:t>c</w:t>
      </w:r>
      <w:r w:rsidR="008D1500">
        <w:t>hain of custody documentation exists in forms that vary by country</w:t>
      </w:r>
      <w:r w:rsidR="00735D16">
        <w:t xml:space="preserve">, region, and company. </w:t>
      </w:r>
      <w:r w:rsidR="00C20DCC">
        <w:t xml:space="preserve">Some countries may not issue certain types of (or any) documents from the government and this will be considered in document evaluations. </w:t>
      </w:r>
      <w:r w:rsidR="00735D16">
        <w:t xml:space="preserve">While this protocol attempts to </w:t>
      </w:r>
      <w:r w:rsidR="00BD3808">
        <w:t>note</w:t>
      </w:r>
      <w:r w:rsidR="00735D16">
        <w:t xml:space="preserve"> the types of documents that can be used to successfully demonstrate chain of custody, other</w:t>
      </w:r>
      <w:r w:rsidR="00BD3808">
        <w:t xml:space="preserve"> forms</w:t>
      </w:r>
      <w:r w:rsidR="00735D16">
        <w:t xml:space="preserve"> may equally meet the intent of the audit and may be</w:t>
      </w:r>
      <w:r w:rsidR="00E47F08">
        <w:t xml:space="preserve"> </w:t>
      </w:r>
      <w:r w:rsidR="0043290E">
        <w:t>substituted</w:t>
      </w:r>
      <w:r w:rsidR="00E47F08">
        <w:t xml:space="preserve">. </w:t>
      </w:r>
    </w:p>
    <w:p w14:paraId="4CD062E1" w14:textId="77777777" w:rsidR="00C20DCC" w:rsidRDefault="00C20DCC" w:rsidP="00C21A33">
      <w:pPr>
        <w:spacing w:after="0" w:line="240" w:lineRule="auto"/>
        <w:jc w:val="both"/>
      </w:pPr>
    </w:p>
    <w:p w14:paraId="245FC12A" w14:textId="4E206BB2" w:rsidR="00735D16" w:rsidRDefault="00B676B4" w:rsidP="00C21A33">
      <w:pPr>
        <w:spacing w:after="0" w:line="240" w:lineRule="auto"/>
        <w:jc w:val="both"/>
      </w:pPr>
      <w:r>
        <w:t>The focus of the audit is a risk</w:t>
      </w:r>
      <w:r w:rsidR="008203FB">
        <w:t>-</w:t>
      </w:r>
      <w:r>
        <w:t xml:space="preserve">based validation approach </w:t>
      </w:r>
      <w:r w:rsidR="001C417A">
        <w:t xml:space="preserve">that </w:t>
      </w:r>
      <w:r>
        <w:t xml:space="preserve">the smelter has implemented adequate company level management processes </w:t>
      </w:r>
      <w:r w:rsidR="008C6E63">
        <w:t>and due diligence to support responsible mineral procurement</w:t>
      </w:r>
      <w:r w:rsidR="00B95874">
        <w:t xml:space="preserve"> per the OECD Guidance</w:t>
      </w:r>
      <w:r w:rsidR="008C6E63">
        <w:t xml:space="preserve">. </w:t>
      </w:r>
      <w:r w:rsidR="00735D16" w:rsidRPr="00901F2D">
        <w:t xml:space="preserve">The audit </w:t>
      </w:r>
      <w:r w:rsidR="00735D16" w:rsidRPr="00B95874">
        <w:t>is not expected to determine</w:t>
      </w:r>
      <w:r w:rsidR="00756716" w:rsidRPr="00B95874">
        <w:t xml:space="preserve"> </w:t>
      </w:r>
      <w:r w:rsidR="00735D16" w:rsidRPr="00B95874">
        <w:t>that material at a smelter is conf</w:t>
      </w:r>
      <w:r w:rsidR="00E47F08" w:rsidRPr="00B95874">
        <w:t>l</w:t>
      </w:r>
      <w:r w:rsidR="00735D16" w:rsidRPr="00B95874">
        <w:t>ict-free</w:t>
      </w:r>
      <w:r w:rsidR="00AC2B36" w:rsidRPr="00B95874">
        <w:t>.</w:t>
      </w:r>
      <w:r w:rsidR="00756716" w:rsidRPr="00B95874">
        <w:t xml:space="preserve"> </w:t>
      </w:r>
      <w:r w:rsidR="00AC2B36" w:rsidRPr="00B95874">
        <w:t xml:space="preserve">The CFSP audit </w:t>
      </w:r>
      <w:r w:rsidR="008C6E63" w:rsidRPr="00B95874">
        <w:t xml:space="preserve">is not a material certification audit. </w:t>
      </w:r>
    </w:p>
    <w:p w14:paraId="6BD19C6F" w14:textId="77777777" w:rsidR="00C1130D" w:rsidRDefault="00C1130D" w:rsidP="00C21A33">
      <w:pPr>
        <w:spacing w:after="0" w:line="240" w:lineRule="auto"/>
        <w:jc w:val="both"/>
      </w:pPr>
    </w:p>
    <w:p w14:paraId="21947D8F" w14:textId="23DBE0AA" w:rsidR="00C1130D" w:rsidRDefault="00C1130D" w:rsidP="00C21A33">
      <w:pPr>
        <w:spacing w:after="0" w:line="240" w:lineRule="auto"/>
        <w:jc w:val="both"/>
      </w:pPr>
      <w:r>
        <w:t xml:space="preserve">If sourcing from </w:t>
      </w:r>
      <w:r w:rsidR="00D64AD4">
        <w:t>CAHRAs</w:t>
      </w:r>
      <w:r>
        <w:t xml:space="preserve">, compliance to this audit is expected to meet the </w:t>
      </w:r>
      <w:r w:rsidR="00B95874">
        <w:t>expectations</w:t>
      </w:r>
      <w:r>
        <w:t xml:space="preserve"> set forth in the OECD Guidance. Ot</w:t>
      </w:r>
      <w:r w:rsidR="00B95874">
        <w:t xml:space="preserve">her upstream assurance systems </w:t>
      </w:r>
      <w:r>
        <w:t>provide critical information to support this audit protocol.</w:t>
      </w:r>
    </w:p>
    <w:p w14:paraId="636B2C6F" w14:textId="77777777" w:rsidR="00C1130D" w:rsidRDefault="00C1130D" w:rsidP="00C21A33">
      <w:pPr>
        <w:spacing w:after="0" w:line="240" w:lineRule="auto"/>
        <w:jc w:val="both"/>
      </w:pPr>
    </w:p>
    <w:p w14:paraId="3E13D3E4" w14:textId="303D4513" w:rsidR="00716C45" w:rsidRDefault="00716C45" w:rsidP="00C21A33">
      <w:pPr>
        <w:spacing w:after="0" w:line="240" w:lineRule="auto"/>
        <w:jc w:val="both"/>
      </w:pPr>
    </w:p>
    <w:p w14:paraId="4F72DA28" w14:textId="7F5AFFA7" w:rsidR="007A0932" w:rsidRPr="005256C6" w:rsidRDefault="00CA5254" w:rsidP="00C21A33">
      <w:pPr>
        <w:pStyle w:val="Heading1"/>
        <w:jc w:val="both"/>
      </w:pPr>
      <w:bookmarkStart w:id="7" w:name="_Toc450308514"/>
      <w:r>
        <w:lastRenderedPageBreak/>
        <w:t>Confidentiality and Third Party Documentation</w:t>
      </w:r>
      <w:bookmarkEnd w:id="7"/>
    </w:p>
    <w:p w14:paraId="269D9C20" w14:textId="77777777" w:rsidR="008D7DCF" w:rsidRDefault="008D7DCF" w:rsidP="00C21A33">
      <w:pPr>
        <w:spacing w:after="0" w:line="240" w:lineRule="auto"/>
        <w:jc w:val="both"/>
      </w:pPr>
    </w:p>
    <w:p w14:paraId="042801D5" w14:textId="1C86614D" w:rsidR="007A0932" w:rsidRDefault="007A0932" w:rsidP="00C21A33">
      <w:pPr>
        <w:spacing w:after="0" w:line="240" w:lineRule="auto"/>
        <w:jc w:val="both"/>
      </w:pPr>
      <w:r w:rsidRPr="005C478E">
        <w:t xml:space="preserve">The </w:t>
      </w:r>
      <w:r w:rsidR="008D7DCF">
        <w:t>smelter</w:t>
      </w:r>
      <w:r w:rsidRPr="005C478E">
        <w:t xml:space="preserve"> should make sufficient effort to obtain the necessary documents from traders or other suppliers but may have difficulty in doing so due to business confidentiality concerns. In such cases, the </w:t>
      </w:r>
      <w:r w:rsidR="008D7DCF">
        <w:t>smelter</w:t>
      </w:r>
      <w:r w:rsidRPr="005C478E">
        <w:t xml:space="preserve"> may request </w:t>
      </w:r>
      <w:r w:rsidR="00963E7A">
        <w:t xml:space="preserve">that </w:t>
      </w:r>
      <w:r w:rsidRPr="005C478E">
        <w:t>the trader or other supplier provide the necessary documents directly to the CFS</w:t>
      </w:r>
      <w:r w:rsidR="008D7DCF">
        <w:t>P</w:t>
      </w:r>
      <w:r w:rsidRPr="005C478E">
        <w:t xml:space="preserve"> auditor for review. </w:t>
      </w:r>
      <w:r>
        <w:t xml:space="preserve">This process should be an interactive process between the </w:t>
      </w:r>
      <w:r w:rsidR="008D7DCF">
        <w:t>smelter</w:t>
      </w:r>
      <w:r>
        <w:t xml:space="preserve">, the auditor, and the </w:t>
      </w:r>
      <w:r w:rsidR="008D7DCF">
        <w:t>smelter</w:t>
      </w:r>
      <w:r>
        <w:t xml:space="preserve">'s supplier. The auditor will confirm gap closure on such items as soon as reasonably possible to assist the smelter and supplier in providing further documentation as necessary. It is optimal that these interactions occur either before or during the on-site audit, after the Line Item Summary </w:t>
      </w:r>
      <w:r w:rsidR="00963E7A">
        <w:t xml:space="preserve">(LIS) </w:t>
      </w:r>
      <w:r>
        <w:t>has been provided. This should be considered an exception process as delays in receiving the required documentation may incur higher audit costs for the smelter.</w:t>
      </w:r>
    </w:p>
    <w:p w14:paraId="398FBA60" w14:textId="77777777" w:rsidR="00716C45" w:rsidRDefault="00716C45" w:rsidP="00C21A33">
      <w:pPr>
        <w:spacing w:after="0" w:line="240" w:lineRule="auto"/>
        <w:jc w:val="both"/>
      </w:pPr>
    </w:p>
    <w:p w14:paraId="20E56467" w14:textId="2BA7A297" w:rsidR="00CE1277" w:rsidRDefault="00B75EE6" w:rsidP="00C21A33">
      <w:pPr>
        <w:spacing w:after="0" w:line="240" w:lineRule="auto"/>
        <w:jc w:val="both"/>
      </w:pPr>
      <w:bookmarkStart w:id="8" w:name="_Toc315084453"/>
      <w:r w:rsidRPr="00152A99">
        <w:t>In the case where origin and chain of custody information is held within a third-part</w:t>
      </w:r>
      <w:r w:rsidR="00152A99">
        <w:t xml:space="preserve">y </w:t>
      </w:r>
      <w:r w:rsidR="00620FB2">
        <w:t xml:space="preserve">upstream assurance </w:t>
      </w:r>
      <w:r w:rsidR="00797885">
        <w:t>system</w:t>
      </w:r>
      <w:r w:rsidR="00F50384">
        <w:t xml:space="preserve">, </w:t>
      </w:r>
      <w:r w:rsidRPr="00152A99">
        <w:t xml:space="preserve">the </w:t>
      </w:r>
      <w:r w:rsidR="00F50384">
        <w:t>ups</w:t>
      </w:r>
      <w:r w:rsidR="00C21A33">
        <w:t xml:space="preserve">tream assurance </w:t>
      </w:r>
      <w:r w:rsidR="00797885">
        <w:t xml:space="preserve">system </w:t>
      </w:r>
      <w:r w:rsidR="00C21A33">
        <w:t>may send</w:t>
      </w:r>
      <w:r w:rsidR="00F50384">
        <w:t xml:space="preserve"> this information to the CFSP auditor </w:t>
      </w:r>
      <w:r w:rsidRPr="00152A99">
        <w:t xml:space="preserve">directly in order to both address confidentiality issues and increase efficiency. </w:t>
      </w:r>
      <w:bookmarkEnd w:id="8"/>
    </w:p>
    <w:p w14:paraId="29DDB020" w14:textId="77777777" w:rsidR="00716C45" w:rsidRDefault="00716C45" w:rsidP="00C21A33">
      <w:pPr>
        <w:spacing w:after="0" w:line="240" w:lineRule="auto"/>
        <w:jc w:val="both"/>
        <w:rPr>
          <w:b/>
          <w:bCs/>
          <w:caps/>
        </w:rPr>
      </w:pPr>
    </w:p>
    <w:p w14:paraId="5D9F5B36" w14:textId="457B1177" w:rsidR="0039585B" w:rsidRDefault="0039585B" w:rsidP="00C21A33">
      <w:pPr>
        <w:pStyle w:val="Heading1"/>
        <w:jc w:val="both"/>
      </w:pPr>
      <w:bookmarkStart w:id="9" w:name="_Toc450308515"/>
      <w:r>
        <w:t>Audit Scope</w:t>
      </w:r>
      <w:bookmarkEnd w:id="9"/>
    </w:p>
    <w:p w14:paraId="1CEA4207" w14:textId="77777777" w:rsidR="00C21A33" w:rsidRDefault="00C21A33" w:rsidP="00C21A33">
      <w:pPr>
        <w:spacing w:after="0" w:line="240" w:lineRule="auto"/>
        <w:jc w:val="both"/>
      </w:pPr>
    </w:p>
    <w:p w14:paraId="1C9012D0" w14:textId="23E71765" w:rsidR="00847E4C" w:rsidRDefault="00C21A33" w:rsidP="00C21A33">
      <w:pPr>
        <w:spacing w:after="0" w:line="240" w:lineRule="auto"/>
        <w:jc w:val="both"/>
      </w:pPr>
      <w:r>
        <w:t>The CFSI has the</w:t>
      </w:r>
      <w:r w:rsidR="00847E4C">
        <w:t xml:space="preserve"> sole discretion to determine whether a company is eligible to participate in a CFSP audit.  It is the </w:t>
      </w:r>
      <w:r w:rsidR="00F56342">
        <w:t>responsibility</w:t>
      </w:r>
      <w:r w:rsidR="00847E4C">
        <w:t xml:space="preserve"> of the company to provide sufficie</w:t>
      </w:r>
      <w:r>
        <w:t xml:space="preserve">nt evidence to the CFSI </w:t>
      </w:r>
      <w:r w:rsidR="00847E4C">
        <w:t xml:space="preserve">to confirm </w:t>
      </w:r>
      <w:r w:rsidR="00F56342">
        <w:t xml:space="preserve">that </w:t>
      </w:r>
      <w:r w:rsidR="00847E4C">
        <w:t xml:space="preserve">the </w:t>
      </w:r>
      <w:r w:rsidR="00A20DE6">
        <w:t>company meets</w:t>
      </w:r>
      <w:r w:rsidR="00C35C05">
        <w:t xml:space="preserve"> the </w:t>
      </w:r>
      <w:r>
        <w:t xml:space="preserve">eligibility </w:t>
      </w:r>
      <w:r w:rsidR="00C35C05">
        <w:t xml:space="preserve">requirements and </w:t>
      </w:r>
      <w:r>
        <w:t xml:space="preserve">is </w:t>
      </w:r>
      <w:r w:rsidR="00847E4C">
        <w:t>therefore eligible to participate in a CFSP audit.</w:t>
      </w:r>
    </w:p>
    <w:p w14:paraId="38BA971D" w14:textId="77777777" w:rsidR="00716C45" w:rsidRPr="00847E4C" w:rsidRDefault="00716C45" w:rsidP="00C21A33">
      <w:pPr>
        <w:spacing w:after="0" w:line="240" w:lineRule="auto"/>
        <w:jc w:val="both"/>
      </w:pPr>
    </w:p>
    <w:p w14:paraId="621B0A8B" w14:textId="7CECC587" w:rsidR="00477635" w:rsidRDefault="00477635" w:rsidP="00C21A33">
      <w:pPr>
        <w:pStyle w:val="Heading2"/>
        <w:spacing w:before="0"/>
        <w:ind w:left="360" w:hanging="360"/>
        <w:jc w:val="both"/>
      </w:pPr>
      <w:bookmarkStart w:id="10" w:name="_Toc315084456"/>
      <w:bookmarkStart w:id="11" w:name="_Toc450308516"/>
      <w:r>
        <w:t>Companies within the scope of the C</w:t>
      </w:r>
      <w:r w:rsidR="00F14C0A">
        <w:t>FS</w:t>
      </w:r>
      <w:r w:rsidR="00847E4C">
        <w:t>P</w:t>
      </w:r>
      <w:r>
        <w:t xml:space="preserve"> audit</w:t>
      </w:r>
      <w:bookmarkEnd w:id="10"/>
      <w:bookmarkEnd w:id="11"/>
    </w:p>
    <w:p w14:paraId="6A1FE0E7" w14:textId="77777777" w:rsidR="00477635" w:rsidRDefault="00477635" w:rsidP="00C21A33">
      <w:pPr>
        <w:spacing w:after="0" w:line="240" w:lineRule="auto"/>
        <w:jc w:val="both"/>
      </w:pPr>
    </w:p>
    <w:p w14:paraId="1004748F" w14:textId="4140FA3C" w:rsidR="0087355F" w:rsidRDefault="0087355F" w:rsidP="00C21A33">
      <w:pPr>
        <w:spacing w:after="0" w:line="240" w:lineRule="auto"/>
        <w:jc w:val="both"/>
      </w:pPr>
      <w:r w:rsidRPr="00C02773">
        <w:t>All companies meeting the definition of smelter</w:t>
      </w:r>
      <w:r w:rsidR="006C47D7">
        <w:t xml:space="preserve"> below</w:t>
      </w:r>
      <w:r w:rsidRPr="00C02773">
        <w:t xml:space="preserve"> are included</w:t>
      </w:r>
      <w:r w:rsidR="00C21A33">
        <w:t xml:space="preserve"> within the scope of this audit</w:t>
      </w:r>
      <w:r w:rsidRPr="00502A81">
        <w:t>.</w:t>
      </w:r>
      <w:r w:rsidR="00B07369" w:rsidRPr="00502A81">
        <w:t xml:space="preserve"> A</w:t>
      </w:r>
      <w:r w:rsidR="0036321C" w:rsidRPr="00502A81">
        <w:t>ny</w:t>
      </w:r>
      <w:r w:rsidR="00B07369" w:rsidRPr="00502A81">
        <w:t xml:space="preserve"> production </w:t>
      </w:r>
      <w:r w:rsidR="00C21A33">
        <w:t>site/</w:t>
      </w:r>
      <w:r w:rsidR="0036321C" w:rsidRPr="00502A81">
        <w:t>facility</w:t>
      </w:r>
      <w:r w:rsidR="00B07369" w:rsidRPr="00502A81">
        <w:t xml:space="preserve"> within a group company that </w:t>
      </w:r>
      <w:r w:rsidR="0036321C" w:rsidRPr="00502A81">
        <w:t xml:space="preserve">meets the definition of smelter </w:t>
      </w:r>
      <w:r w:rsidR="00B07369" w:rsidRPr="00502A81">
        <w:t xml:space="preserve">will </w:t>
      </w:r>
      <w:r w:rsidR="0036321C" w:rsidRPr="00502A81">
        <w:t xml:space="preserve">also </w:t>
      </w:r>
      <w:r w:rsidR="00B07369" w:rsidRPr="00502A81">
        <w:t>be considered in scope for audit.</w:t>
      </w:r>
      <w:r w:rsidR="001078D1" w:rsidRPr="00502A81">
        <w:t xml:space="preserve"> Compliance to this protocol is determined </w:t>
      </w:r>
      <w:r w:rsidR="00356227" w:rsidRPr="00502A81">
        <w:t xml:space="preserve">at </w:t>
      </w:r>
      <w:r w:rsidR="001078D1" w:rsidRPr="00502A81">
        <w:t>the level of the production site</w:t>
      </w:r>
      <w:r w:rsidR="0036321C" w:rsidRPr="00502A81">
        <w:t>/facility</w:t>
      </w:r>
      <w:r w:rsidR="001078D1" w:rsidRPr="00502A81">
        <w:t>.</w:t>
      </w:r>
      <w:r w:rsidR="001078D1">
        <w:t xml:space="preserve"> </w:t>
      </w:r>
    </w:p>
    <w:p w14:paraId="6944050E" w14:textId="77777777" w:rsidR="00716C45" w:rsidRDefault="00716C45" w:rsidP="00C21A33">
      <w:pPr>
        <w:spacing w:after="0" w:line="240" w:lineRule="auto"/>
        <w:jc w:val="both"/>
      </w:pPr>
    </w:p>
    <w:p w14:paraId="518FA80E" w14:textId="4EF2F400" w:rsidR="00477635" w:rsidRDefault="00352A9B" w:rsidP="00C21A33">
      <w:pPr>
        <w:spacing w:after="0" w:line="240" w:lineRule="auto"/>
        <w:jc w:val="both"/>
      </w:pPr>
      <w:r>
        <w:rPr>
          <w:b/>
        </w:rPr>
        <w:t>Tantalum (Ta) smelter</w:t>
      </w:r>
    </w:p>
    <w:p w14:paraId="791B314D" w14:textId="52F45AEA" w:rsidR="00B07369" w:rsidRDefault="00B07369" w:rsidP="00C21A33">
      <w:pPr>
        <w:spacing w:after="0" w:line="240" w:lineRule="auto"/>
        <w:jc w:val="both"/>
      </w:pPr>
      <w:r>
        <w:t>The audit protocol will apply to all Primary and Secondary tantalum smelters who voluntarily cho</w:t>
      </w:r>
      <w:r w:rsidR="0012776C">
        <w:t>os</w:t>
      </w:r>
      <w:r>
        <w:t xml:space="preserve">e to participate. </w:t>
      </w:r>
    </w:p>
    <w:p w14:paraId="00DCCBB1" w14:textId="77777777" w:rsidR="00716C45" w:rsidRDefault="00716C45" w:rsidP="00C21A33">
      <w:pPr>
        <w:spacing w:after="0" w:line="240" w:lineRule="auto"/>
        <w:jc w:val="both"/>
      </w:pPr>
    </w:p>
    <w:p w14:paraId="233F4139" w14:textId="77777777" w:rsidR="00B07369" w:rsidRDefault="00B07369" w:rsidP="00C21A33">
      <w:pPr>
        <w:spacing w:after="0" w:line="240" w:lineRule="auto"/>
        <w:jc w:val="both"/>
      </w:pPr>
      <w:r>
        <w:t xml:space="preserve">Primary and Secondary tantalum smelters are defined as follows: </w:t>
      </w:r>
    </w:p>
    <w:p w14:paraId="3A9C3267" w14:textId="77777777" w:rsidR="00716C45" w:rsidRDefault="00716C45" w:rsidP="00C21A33">
      <w:pPr>
        <w:spacing w:after="0" w:line="240" w:lineRule="auto"/>
        <w:jc w:val="both"/>
      </w:pPr>
    </w:p>
    <w:p w14:paraId="67546C3B" w14:textId="1CCC2397" w:rsidR="00577A32" w:rsidRDefault="00B07369" w:rsidP="006256DB">
      <w:pPr>
        <w:pStyle w:val="ListParagraph"/>
        <w:numPr>
          <w:ilvl w:val="0"/>
          <w:numId w:val="33"/>
        </w:numPr>
        <w:spacing w:after="0" w:line="240" w:lineRule="auto"/>
        <w:contextualSpacing w:val="0"/>
        <w:jc w:val="both"/>
      </w:pPr>
      <w:r>
        <w:rPr>
          <w:i/>
        </w:rPr>
        <w:t>Primary smelter:</w:t>
      </w:r>
      <w:r>
        <w:rPr>
          <w:b/>
        </w:rPr>
        <w:t xml:space="preserve"> </w:t>
      </w:r>
      <w:r>
        <w:t>A company with one or more production sites with the ability to convert</w:t>
      </w:r>
      <w:r w:rsidR="00577A32">
        <w:t>:</w:t>
      </w:r>
      <w:r>
        <w:t xml:space="preserve"> </w:t>
      </w:r>
    </w:p>
    <w:p w14:paraId="4CB5F0E9" w14:textId="097B747C" w:rsidR="00B07369" w:rsidRDefault="00577A32" w:rsidP="00C21A33">
      <w:pPr>
        <w:pStyle w:val="ListParagraph"/>
        <w:spacing w:after="0" w:line="240" w:lineRule="auto"/>
        <w:contextualSpacing w:val="0"/>
        <w:jc w:val="both"/>
      </w:pPr>
      <w:r>
        <w:t xml:space="preserve">a) </w:t>
      </w:r>
      <w:r w:rsidR="00B07369">
        <w:t xml:space="preserve">tantalum containing ores (such as tantalite, columbite, etc.), </w:t>
      </w:r>
      <w:r>
        <w:t xml:space="preserve">b) </w:t>
      </w:r>
      <w:r w:rsidR="00B07369">
        <w:t xml:space="preserve">tantalum containing tin slags, </w:t>
      </w:r>
      <w:r>
        <w:t xml:space="preserve">c) </w:t>
      </w:r>
      <w:r w:rsidR="00B07369">
        <w:t>tantalum concentrates (includi</w:t>
      </w:r>
      <w:r w:rsidR="00B935E1">
        <w:t>ng synthetic concentrates), and</w:t>
      </w:r>
      <w:r>
        <w:t xml:space="preserve"> d)</w:t>
      </w:r>
      <w:r w:rsidR="00B07369">
        <w:t xml:space="preserve"> tantalum bearing secondary materials into tantalum containing intermediates for direct sales or further processing into tantalum containing products. </w:t>
      </w:r>
    </w:p>
    <w:p w14:paraId="6E6883FB" w14:textId="77777777" w:rsidR="00716C45" w:rsidRDefault="00716C45" w:rsidP="00C21A33">
      <w:pPr>
        <w:pStyle w:val="ListParagraph"/>
        <w:spacing w:after="0" w:line="240" w:lineRule="auto"/>
        <w:contextualSpacing w:val="0"/>
        <w:jc w:val="both"/>
      </w:pPr>
    </w:p>
    <w:p w14:paraId="7AE8063D" w14:textId="5E7E234F" w:rsidR="00B07369" w:rsidRPr="00716C45" w:rsidRDefault="00B07369" w:rsidP="006256DB">
      <w:pPr>
        <w:pStyle w:val="ListParagraph"/>
        <w:numPr>
          <w:ilvl w:val="0"/>
          <w:numId w:val="33"/>
        </w:numPr>
        <w:spacing w:after="0" w:line="240" w:lineRule="auto"/>
        <w:contextualSpacing w:val="0"/>
        <w:jc w:val="both"/>
        <w:rPr>
          <w:i/>
        </w:rPr>
      </w:pPr>
      <w:r>
        <w:rPr>
          <w:i/>
        </w:rPr>
        <w:t>Secondary Smelter:</w:t>
      </w:r>
      <w:r>
        <w:t xml:space="preserve"> A company with one or more production sites with the ability to convert tantalum containing secondary materials into tantalum containing intermediates for direct sales or further processing into tantalum containing products.</w:t>
      </w:r>
    </w:p>
    <w:p w14:paraId="317EF422" w14:textId="77777777" w:rsidR="00716C45" w:rsidRDefault="00716C45" w:rsidP="00C21A33">
      <w:pPr>
        <w:pStyle w:val="ListParagraph"/>
        <w:spacing w:after="0" w:line="240" w:lineRule="auto"/>
        <w:contextualSpacing w:val="0"/>
        <w:jc w:val="both"/>
        <w:rPr>
          <w:i/>
        </w:rPr>
      </w:pPr>
    </w:p>
    <w:p w14:paraId="1E909385" w14:textId="77777777" w:rsidR="00716C45" w:rsidRPr="001078D1" w:rsidRDefault="00716C45" w:rsidP="00C21A33">
      <w:pPr>
        <w:spacing w:after="0" w:line="240" w:lineRule="auto"/>
        <w:jc w:val="both"/>
        <w:rPr>
          <w:b/>
        </w:rPr>
      </w:pPr>
      <w:r w:rsidRPr="001078D1">
        <w:rPr>
          <w:b/>
        </w:rPr>
        <w:t>Tin (Sn) Smelter</w:t>
      </w:r>
    </w:p>
    <w:p w14:paraId="07BBA140" w14:textId="56592F3D" w:rsidR="00B935E1" w:rsidRDefault="00B935E1" w:rsidP="00B935E1">
      <w:pPr>
        <w:spacing w:after="0" w:line="240" w:lineRule="auto"/>
        <w:jc w:val="both"/>
      </w:pPr>
      <w:r>
        <w:lastRenderedPageBreak/>
        <w:t>The audit protocol will apply to all Primary and Secondary t</w:t>
      </w:r>
      <w:r w:rsidR="0012776C">
        <w:t>in smelters who voluntarily choos</w:t>
      </w:r>
      <w:r>
        <w:t xml:space="preserve">e to participate. </w:t>
      </w:r>
    </w:p>
    <w:p w14:paraId="4425DA02" w14:textId="77777777" w:rsidR="00B935E1" w:rsidRDefault="00B935E1" w:rsidP="00B935E1">
      <w:pPr>
        <w:spacing w:after="0" w:line="240" w:lineRule="auto"/>
        <w:jc w:val="both"/>
      </w:pPr>
    </w:p>
    <w:p w14:paraId="7B295CAF" w14:textId="494A7AE6" w:rsidR="00B935E1" w:rsidRDefault="00B935E1" w:rsidP="00B935E1">
      <w:pPr>
        <w:spacing w:after="0" w:line="240" w:lineRule="auto"/>
        <w:jc w:val="both"/>
      </w:pPr>
      <w:r>
        <w:t xml:space="preserve">Primary and Secondary tin smelters are defined as follows: </w:t>
      </w:r>
    </w:p>
    <w:p w14:paraId="7CD59D3B" w14:textId="77777777" w:rsidR="00B935E1" w:rsidRDefault="00B935E1" w:rsidP="00C21A33">
      <w:pPr>
        <w:spacing w:after="0" w:line="240" w:lineRule="auto"/>
        <w:jc w:val="both"/>
      </w:pPr>
    </w:p>
    <w:p w14:paraId="64D97C4A" w14:textId="77777777" w:rsidR="00B935E1" w:rsidRDefault="00B935E1" w:rsidP="006256DB">
      <w:pPr>
        <w:pStyle w:val="ListParagraph"/>
        <w:numPr>
          <w:ilvl w:val="0"/>
          <w:numId w:val="33"/>
        </w:numPr>
        <w:spacing w:after="0" w:line="240" w:lineRule="auto"/>
        <w:contextualSpacing w:val="0"/>
        <w:jc w:val="both"/>
      </w:pPr>
      <w:r>
        <w:rPr>
          <w:i/>
        </w:rPr>
        <w:t>Primary smelter:</w:t>
      </w:r>
      <w:r>
        <w:rPr>
          <w:b/>
        </w:rPr>
        <w:t xml:space="preserve"> </w:t>
      </w:r>
      <w:r>
        <w:t xml:space="preserve">A company with one or more production sites with the ability to convert: </w:t>
      </w:r>
    </w:p>
    <w:p w14:paraId="0682080A" w14:textId="28888648" w:rsidR="00B935E1" w:rsidRDefault="00B935E1" w:rsidP="00B935E1">
      <w:pPr>
        <w:pStyle w:val="ListParagraph"/>
        <w:spacing w:after="0" w:line="240" w:lineRule="auto"/>
        <w:contextualSpacing w:val="0"/>
        <w:jc w:val="both"/>
      </w:pPr>
      <w:r>
        <w:t xml:space="preserve">a) tin containing ores </w:t>
      </w:r>
      <w:r w:rsidR="0064150D">
        <w:t xml:space="preserve">(e.g., </w:t>
      </w:r>
      <w:r>
        <w:t xml:space="preserve">cassiterite, etc.), b) tin slags, c) tin concentrates (including synthetic concentrates), and d) tin bearing secondary materials into tin metal for direct sales or further processing into tin containing products. </w:t>
      </w:r>
    </w:p>
    <w:p w14:paraId="434FAA2C" w14:textId="77777777" w:rsidR="00B935E1" w:rsidRDefault="00B935E1" w:rsidP="00B935E1">
      <w:pPr>
        <w:pStyle w:val="ListParagraph"/>
        <w:spacing w:after="0" w:line="240" w:lineRule="auto"/>
        <w:contextualSpacing w:val="0"/>
        <w:jc w:val="both"/>
      </w:pPr>
    </w:p>
    <w:p w14:paraId="503A1107" w14:textId="1DA6125C" w:rsidR="00B935E1" w:rsidRPr="00716C45" w:rsidRDefault="00B935E1" w:rsidP="006256DB">
      <w:pPr>
        <w:pStyle w:val="ListParagraph"/>
        <w:numPr>
          <w:ilvl w:val="0"/>
          <w:numId w:val="33"/>
        </w:numPr>
        <w:spacing w:after="0" w:line="240" w:lineRule="auto"/>
        <w:contextualSpacing w:val="0"/>
        <w:jc w:val="both"/>
        <w:rPr>
          <w:i/>
        </w:rPr>
      </w:pPr>
      <w:r>
        <w:rPr>
          <w:i/>
        </w:rPr>
        <w:t>Secondary Smelter:</w:t>
      </w:r>
      <w:r>
        <w:t xml:space="preserve"> A company with one or more production sites with the ability to</w:t>
      </w:r>
      <w:r w:rsidRPr="001078D1">
        <w:t xml:space="preserve"> treat secondary materials</w:t>
      </w:r>
      <w:r w:rsidRPr="001078D1">
        <w:rPr>
          <w:rStyle w:val="FootnoteReference"/>
        </w:rPr>
        <w:footnoteReference w:id="3"/>
      </w:r>
      <w:r w:rsidRPr="001078D1">
        <w:t xml:space="preserve">  by reduction</w:t>
      </w:r>
      <w:r w:rsidRPr="001078D1">
        <w:rPr>
          <w:rStyle w:val="FootnoteReference"/>
        </w:rPr>
        <w:footnoteReference w:id="4"/>
      </w:r>
      <w:r w:rsidRPr="001078D1">
        <w:t xml:space="preserve"> for the production of crude or higher grade tin or tin product such as solder</w:t>
      </w:r>
      <w:r>
        <w:t>.</w:t>
      </w:r>
    </w:p>
    <w:p w14:paraId="36D62D2B" w14:textId="77777777" w:rsidR="00477635" w:rsidRDefault="00477635" w:rsidP="00C21A33">
      <w:pPr>
        <w:spacing w:after="0" w:line="240" w:lineRule="auto"/>
        <w:jc w:val="both"/>
      </w:pPr>
    </w:p>
    <w:p w14:paraId="1556AD31" w14:textId="7154D43A" w:rsidR="00472222" w:rsidRDefault="00472222" w:rsidP="00C21A33">
      <w:pPr>
        <w:spacing w:after="0" w:line="240" w:lineRule="auto"/>
        <w:jc w:val="both"/>
      </w:pPr>
      <w:r>
        <w:t xml:space="preserve">See </w:t>
      </w:r>
      <w:r w:rsidRPr="00472222">
        <w:t>Annex IV</w:t>
      </w:r>
      <w:r>
        <w:t xml:space="preserve"> for further information about additional tin c</w:t>
      </w:r>
      <w:r w:rsidRPr="00472222">
        <w:t xml:space="preserve">ompany and </w:t>
      </w:r>
      <w:r>
        <w:t xml:space="preserve">material types. </w:t>
      </w:r>
    </w:p>
    <w:p w14:paraId="33ED8380" w14:textId="77777777" w:rsidR="00472222" w:rsidRDefault="00472222" w:rsidP="00C21A33">
      <w:pPr>
        <w:spacing w:after="0" w:line="240" w:lineRule="auto"/>
        <w:jc w:val="both"/>
      </w:pPr>
    </w:p>
    <w:p w14:paraId="7D78EC0A" w14:textId="2262BEC3" w:rsidR="00477635" w:rsidRDefault="00477635" w:rsidP="00C21A33">
      <w:pPr>
        <w:pStyle w:val="Heading2"/>
        <w:spacing w:before="0"/>
        <w:ind w:left="360" w:hanging="360"/>
        <w:jc w:val="both"/>
      </w:pPr>
      <w:bookmarkStart w:id="12" w:name="_Toc315084457"/>
      <w:bookmarkStart w:id="13" w:name="_Toc450308517"/>
      <w:r>
        <w:t>Companies</w:t>
      </w:r>
      <w:r w:rsidR="001B5725">
        <w:t xml:space="preserve"> outside the scope of the </w:t>
      </w:r>
      <w:r w:rsidR="00F14C0A">
        <w:t>CFS</w:t>
      </w:r>
      <w:r w:rsidR="00847E4C">
        <w:t>P</w:t>
      </w:r>
      <w:r w:rsidR="00F14C0A">
        <w:t xml:space="preserve"> </w:t>
      </w:r>
      <w:r w:rsidR="001B5725">
        <w:t>audit</w:t>
      </w:r>
      <w:bookmarkEnd w:id="12"/>
      <w:bookmarkEnd w:id="13"/>
    </w:p>
    <w:p w14:paraId="3E804C71" w14:textId="77777777" w:rsidR="00352A9B" w:rsidRDefault="00352A9B" w:rsidP="00C21A33">
      <w:pPr>
        <w:spacing w:after="0" w:line="240" w:lineRule="auto"/>
        <w:jc w:val="both"/>
      </w:pPr>
    </w:p>
    <w:p w14:paraId="6CF80658" w14:textId="278E7DFD" w:rsidR="00B07369" w:rsidRDefault="00847E4C" w:rsidP="00C21A33">
      <w:pPr>
        <w:spacing w:after="0" w:line="240" w:lineRule="auto"/>
        <w:jc w:val="both"/>
      </w:pPr>
      <w:r>
        <w:t xml:space="preserve">Any company not meeting the definition of </w:t>
      </w:r>
      <w:r w:rsidRPr="0064150D">
        <w:t xml:space="preserve">smelter as identified in </w:t>
      </w:r>
      <w:r w:rsidR="00EE1E9F" w:rsidRPr="0064150D">
        <w:t>Section VI</w:t>
      </w:r>
      <w:r w:rsidRPr="0064150D">
        <w:t>.</w:t>
      </w:r>
      <w:r w:rsidR="00A20DE6" w:rsidRPr="0064150D">
        <w:t>1.</w:t>
      </w:r>
      <w:r w:rsidR="001078D1" w:rsidRPr="0064150D">
        <w:t xml:space="preserve"> is</w:t>
      </w:r>
      <w:r>
        <w:t xml:space="preserve"> outside the scope of the CFSP audit. This includes but is not limited to the following examples</w:t>
      </w:r>
      <w:r w:rsidR="00C35C05">
        <w:t>:</w:t>
      </w:r>
      <w:r>
        <w:t xml:space="preserve"> </w:t>
      </w:r>
    </w:p>
    <w:p w14:paraId="2E098029" w14:textId="77777777" w:rsidR="00716C45" w:rsidRDefault="00716C45" w:rsidP="00C21A33">
      <w:pPr>
        <w:spacing w:after="0" w:line="240" w:lineRule="auto"/>
        <w:jc w:val="both"/>
      </w:pPr>
    </w:p>
    <w:p w14:paraId="23044308" w14:textId="615E0E08" w:rsidR="00477635" w:rsidRDefault="00477635" w:rsidP="006256DB">
      <w:pPr>
        <w:pStyle w:val="ListParagraph"/>
        <w:numPr>
          <w:ilvl w:val="0"/>
          <w:numId w:val="36"/>
        </w:numPr>
        <w:spacing w:after="0" w:line="240" w:lineRule="auto"/>
        <w:jc w:val="both"/>
      </w:pPr>
      <w:r w:rsidRPr="00B07369">
        <w:rPr>
          <w:i/>
        </w:rPr>
        <w:t xml:space="preserve">Materials </w:t>
      </w:r>
      <w:r w:rsidR="00B935E1">
        <w:rPr>
          <w:i/>
        </w:rPr>
        <w:t>treatment s</w:t>
      </w:r>
      <w:r w:rsidRPr="00B07369">
        <w:rPr>
          <w:i/>
        </w:rPr>
        <w:t>pecialist:</w:t>
      </w:r>
      <w:r>
        <w:t xml:space="preserve"> Companies </w:t>
      </w:r>
      <w:r w:rsidR="00B935E1">
        <w:t xml:space="preserve">solely </w:t>
      </w:r>
      <w:r>
        <w:t xml:space="preserve">processing materials sent for external treatment are not within the scope of this audit.  For example, a </w:t>
      </w:r>
      <w:r w:rsidR="00B935E1">
        <w:t xml:space="preserve">materials treatment specialist </w:t>
      </w:r>
      <w:r>
        <w:t xml:space="preserve">might take materials originating from, and returning to, the </w:t>
      </w:r>
      <w:r w:rsidR="008D7DCF">
        <w:t>smelter</w:t>
      </w:r>
      <w:r>
        <w:t xml:space="preserve"> to remove hazardous waste contaminants (</w:t>
      </w:r>
      <w:r w:rsidR="00B935E1">
        <w:t xml:space="preserve">e.g., arsenic, </w:t>
      </w:r>
      <w:r>
        <w:t>radioactivity</w:t>
      </w:r>
      <w:r w:rsidR="00B935E1">
        <w:t>, etc.</w:t>
      </w:r>
      <w:r>
        <w:t>). Such materials</w:t>
      </w:r>
      <w:r w:rsidR="0064150D">
        <w:t>, if</w:t>
      </w:r>
      <w:r>
        <w:t xml:space="preserve"> continually owned by the </w:t>
      </w:r>
      <w:r w:rsidR="008D7DCF">
        <w:t>smelter</w:t>
      </w:r>
      <w:r w:rsidR="0064150D">
        <w:t>,</w:t>
      </w:r>
      <w:r>
        <w:t xml:space="preserve"> will also not require additional </w:t>
      </w:r>
      <w:r w:rsidR="0064150D">
        <w:t xml:space="preserve">origin information </w:t>
      </w:r>
      <w:r>
        <w:t>on their return from such a company.</w:t>
      </w:r>
    </w:p>
    <w:p w14:paraId="636B20E8" w14:textId="77777777" w:rsidR="00B07369" w:rsidRDefault="00B07369" w:rsidP="00C21A33">
      <w:pPr>
        <w:pStyle w:val="ListParagraph"/>
        <w:spacing w:after="0" w:line="240" w:lineRule="auto"/>
        <w:jc w:val="both"/>
      </w:pPr>
    </w:p>
    <w:p w14:paraId="758C519C" w14:textId="52D8D453" w:rsidR="00477635" w:rsidRDefault="00477635" w:rsidP="006256DB">
      <w:pPr>
        <w:pStyle w:val="ListParagraph"/>
        <w:numPr>
          <w:ilvl w:val="0"/>
          <w:numId w:val="36"/>
        </w:numPr>
        <w:spacing w:after="0" w:line="240" w:lineRule="auto"/>
        <w:jc w:val="both"/>
      </w:pPr>
      <w:r w:rsidRPr="00B07369">
        <w:rPr>
          <w:i/>
        </w:rPr>
        <w:t>Trading companies:</w:t>
      </w:r>
      <w:r>
        <w:t xml:space="preserve">  Companies trading in materials where there is no mechanical or heat treatment or other process performed, and the material traded is </w:t>
      </w:r>
      <w:r w:rsidR="003F4D08">
        <w:t>i</w:t>
      </w:r>
      <w:r>
        <w:t>n the same chemical and physical state as received, are not within the scope of this audit.</w:t>
      </w:r>
    </w:p>
    <w:p w14:paraId="161A5412" w14:textId="77777777" w:rsidR="00B07369" w:rsidRDefault="00B07369" w:rsidP="00C21A33">
      <w:pPr>
        <w:pStyle w:val="ListParagraph"/>
        <w:spacing w:after="0" w:line="240" w:lineRule="auto"/>
        <w:jc w:val="both"/>
      </w:pPr>
    </w:p>
    <w:p w14:paraId="088D54D3" w14:textId="63566392" w:rsidR="00B07369" w:rsidRDefault="00B935E1" w:rsidP="006256DB">
      <w:pPr>
        <w:pStyle w:val="ListParagraph"/>
        <w:numPr>
          <w:ilvl w:val="0"/>
          <w:numId w:val="36"/>
        </w:numPr>
        <w:spacing w:after="0" w:line="240" w:lineRule="auto"/>
        <w:jc w:val="both"/>
      </w:pPr>
      <w:r>
        <w:rPr>
          <w:i/>
        </w:rPr>
        <w:t xml:space="preserve">Tantalum </w:t>
      </w:r>
      <w:r w:rsidR="00B07369" w:rsidRPr="00B07369">
        <w:rPr>
          <w:i/>
        </w:rPr>
        <w:t>Intermediate Processor:</w:t>
      </w:r>
      <w:r w:rsidR="00B07369">
        <w:t xml:space="preserve"> A company with one or more production sites with the ability to conver</w:t>
      </w:r>
      <w:r w:rsidR="00B07369" w:rsidRPr="00B07369">
        <w:t>t tantalum containing intermediates</w:t>
      </w:r>
      <w:r w:rsidR="00B07369">
        <w:t xml:space="preserve"> into tantalum containing products. </w:t>
      </w:r>
    </w:p>
    <w:p w14:paraId="0728A60A" w14:textId="77777777" w:rsidR="00B07369" w:rsidRDefault="00B07369" w:rsidP="00C21A33">
      <w:pPr>
        <w:pStyle w:val="ListParagraph"/>
        <w:spacing w:after="0" w:line="240" w:lineRule="auto"/>
        <w:jc w:val="both"/>
      </w:pPr>
    </w:p>
    <w:p w14:paraId="4285229A" w14:textId="027D9C9D" w:rsidR="00B07369" w:rsidRDefault="00B07369" w:rsidP="006256DB">
      <w:pPr>
        <w:pStyle w:val="ListParagraph"/>
        <w:numPr>
          <w:ilvl w:val="0"/>
          <w:numId w:val="36"/>
        </w:numPr>
        <w:spacing w:after="0" w:line="240" w:lineRule="auto"/>
        <w:jc w:val="both"/>
      </w:pPr>
      <w:r w:rsidRPr="00B07369">
        <w:rPr>
          <w:i/>
        </w:rPr>
        <w:t>Recycler/Handler:</w:t>
      </w:r>
      <w:r w:rsidRPr="00B07369">
        <w:rPr>
          <w:b/>
        </w:rPr>
        <w:t xml:space="preserve">  </w:t>
      </w:r>
      <w:r>
        <w:t>A company with one or more production sites with the ability to process secondary materials using mechanical and/or physical means to size, organize, blend, isolate, or prepare surfaces.  Examples include shearing, cutting, sawing, shredding, briquetting/compacting, shot/sand blasting (wheel abrade and pneumatic) and machining.  Recycler companies do not conduct production scale chemical or thermal processing to remove intrinsic impurities and/or significant contamination nor do they have the ability to fundamentally change the chemical composition of the underlying metal.</w:t>
      </w:r>
    </w:p>
    <w:p w14:paraId="3D867A8A" w14:textId="77777777" w:rsidR="00716C45" w:rsidRDefault="00716C45" w:rsidP="00C21A33">
      <w:pPr>
        <w:spacing w:after="0" w:line="240" w:lineRule="auto"/>
        <w:jc w:val="both"/>
      </w:pPr>
    </w:p>
    <w:p w14:paraId="753123D7" w14:textId="79FDC060" w:rsidR="00654B55" w:rsidRDefault="00B07369" w:rsidP="00C21A33">
      <w:pPr>
        <w:spacing w:after="0" w:line="240" w:lineRule="auto"/>
        <w:jc w:val="both"/>
      </w:pPr>
      <w:r w:rsidRPr="00B07369">
        <w:t>Companies out of scope for this audit may elect to undergo the CFSI downstream assessment for a separate, voluntary, and independent validation of conflict-free sourcing practices.</w:t>
      </w:r>
      <w:r w:rsidR="00A15816">
        <w:rPr>
          <w:rStyle w:val="FootnoteReference"/>
        </w:rPr>
        <w:footnoteReference w:id="5"/>
      </w:r>
    </w:p>
    <w:p w14:paraId="425A18A9" w14:textId="53F0579A" w:rsidR="004468DD" w:rsidRDefault="004468DD" w:rsidP="00C21A33">
      <w:pPr>
        <w:spacing w:after="0" w:line="240" w:lineRule="auto"/>
        <w:jc w:val="both"/>
      </w:pPr>
    </w:p>
    <w:p w14:paraId="3D1A6A08" w14:textId="36310296" w:rsidR="00170307" w:rsidRDefault="001078D1" w:rsidP="00C21A33">
      <w:pPr>
        <w:pStyle w:val="Heading2"/>
        <w:spacing w:before="0"/>
        <w:ind w:left="360" w:hanging="360"/>
        <w:jc w:val="both"/>
      </w:pPr>
      <w:bookmarkStart w:id="14" w:name="_Toc315084459"/>
      <w:bookmarkStart w:id="15" w:name="_Toc450308518"/>
      <w:r>
        <w:t>M</w:t>
      </w:r>
      <w:r w:rsidR="009A289A">
        <w:t>aterials in scope</w:t>
      </w:r>
      <w:bookmarkEnd w:id="14"/>
      <w:bookmarkEnd w:id="15"/>
    </w:p>
    <w:p w14:paraId="5B015A53" w14:textId="77777777" w:rsidR="00352A9B" w:rsidRDefault="00352A9B" w:rsidP="00C21A33">
      <w:pPr>
        <w:spacing w:after="0" w:line="240" w:lineRule="auto"/>
        <w:jc w:val="both"/>
      </w:pPr>
    </w:p>
    <w:p w14:paraId="31B16AC4" w14:textId="2943B018" w:rsidR="00506EC6" w:rsidRDefault="00352A9B" w:rsidP="00C21A33">
      <w:pPr>
        <w:spacing w:after="0" w:line="240" w:lineRule="auto"/>
        <w:jc w:val="both"/>
      </w:pPr>
      <w:r>
        <w:t>A</w:t>
      </w:r>
      <w:r w:rsidR="00ED4AEA">
        <w:t>ll materials</w:t>
      </w:r>
      <w:r w:rsidR="00506EC6">
        <w:t xml:space="preserve"> designated for production of tin or tantalum products physically</w:t>
      </w:r>
      <w:r w:rsidR="00ED4AEA">
        <w:t xml:space="preserve"> delivered, held</w:t>
      </w:r>
      <w:r w:rsidR="00083F47">
        <w:t>, and</w:t>
      </w:r>
      <w:r w:rsidR="00FB31B8">
        <w:t xml:space="preserve">/or </w:t>
      </w:r>
      <w:r w:rsidR="00ED4AEA">
        <w:t>processed during the audit period, regardless of origin and type, are included in the audit.</w:t>
      </w:r>
      <w:r w:rsidR="00671AA0">
        <w:rPr>
          <w:rStyle w:val="FootnoteReference"/>
        </w:rPr>
        <w:footnoteReference w:id="6"/>
      </w:r>
      <w:r w:rsidR="00A15F0C" w:rsidRPr="00A15F0C">
        <w:t xml:space="preserve"> </w:t>
      </w:r>
    </w:p>
    <w:p w14:paraId="0DA5D513" w14:textId="77777777" w:rsidR="00716C45" w:rsidRDefault="00716C45" w:rsidP="00C21A33">
      <w:pPr>
        <w:spacing w:after="0" w:line="240" w:lineRule="auto"/>
        <w:jc w:val="both"/>
      </w:pPr>
    </w:p>
    <w:p w14:paraId="2FA9C7DF" w14:textId="4AE944D0" w:rsidR="008E560E" w:rsidRDefault="008E560E" w:rsidP="00C21A33">
      <w:pPr>
        <w:spacing w:after="0" w:line="240" w:lineRule="auto"/>
        <w:jc w:val="both"/>
      </w:pPr>
      <w:r>
        <w:t>All material</w:t>
      </w:r>
      <w:r w:rsidR="0064150D">
        <w:t>s</w:t>
      </w:r>
      <w:r>
        <w:t xml:space="preserve"> in inventory, and that has been physically received prior to the audit period, is included in the audit scope for the first CFSP audit</w:t>
      </w:r>
      <w:r w:rsidR="003F4D08">
        <w:t>,</w:t>
      </w:r>
      <w:r>
        <w:t xml:space="preserve"> even if it does not have to be documented in the </w:t>
      </w:r>
      <w:r w:rsidR="00DC628C">
        <w:t xml:space="preserve">LIS. </w:t>
      </w:r>
      <w:r>
        <w:t>For subsequent audits, material</w:t>
      </w:r>
      <w:r w:rsidR="0064150D">
        <w:t>s in inventory are</w:t>
      </w:r>
      <w:r>
        <w:t xml:space="preserve"> included in the audit scope solely for purposes of the mass balance calculation.</w:t>
      </w:r>
    </w:p>
    <w:p w14:paraId="465D8AE2" w14:textId="77777777" w:rsidR="00716C45" w:rsidRDefault="00716C45" w:rsidP="00C21A33">
      <w:pPr>
        <w:spacing w:after="0" w:line="240" w:lineRule="auto"/>
        <w:jc w:val="both"/>
      </w:pPr>
    </w:p>
    <w:p w14:paraId="4E85999E" w14:textId="5355BB64" w:rsidR="00011415" w:rsidRDefault="00506EC6" w:rsidP="00C21A33">
      <w:pPr>
        <w:spacing w:after="0" w:line="240" w:lineRule="auto"/>
        <w:jc w:val="both"/>
        <w:rPr>
          <w:rFonts w:cs="Calibri"/>
        </w:rPr>
      </w:pPr>
      <w:r w:rsidRPr="00F12980">
        <w:rPr>
          <w:rFonts w:cs="Calibri"/>
        </w:rPr>
        <w:t>Material sent to</w:t>
      </w:r>
      <w:r w:rsidR="008E560E">
        <w:rPr>
          <w:rFonts w:cs="Calibri"/>
        </w:rPr>
        <w:t xml:space="preserve"> or received from</w:t>
      </w:r>
      <w:r w:rsidRPr="00F12980">
        <w:rPr>
          <w:rFonts w:cs="Calibri"/>
        </w:rPr>
        <w:t xml:space="preserve"> another </w:t>
      </w:r>
      <w:r>
        <w:rPr>
          <w:rFonts w:cs="Calibri"/>
        </w:rPr>
        <w:t>smelter</w:t>
      </w:r>
      <w:r w:rsidRPr="00F12980">
        <w:rPr>
          <w:rFonts w:cs="Calibri"/>
        </w:rPr>
        <w:t xml:space="preserve"> for processing under a </w:t>
      </w:r>
      <w:r>
        <w:rPr>
          <w:rFonts w:cs="Calibri"/>
        </w:rPr>
        <w:t>tolling agreement</w:t>
      </w:r>
      <w:r w:rsidRPr="00F12980">
        <w:rPr>
          <w:rFonts w:cs="Calibri"/>
        </w:rPr>
        <w:t xml:space="preserve"> during the audit period will be considered part of the originating </w:t>
      </w:r>
      <w:r>
        <w:rPr>
          <w:rFonts w:cs="Calibri"/>
        </w:rPr>
        <w:t>smelter</w:t>
      </w:r>
      <w:r w:rsidRPr="00F12980">
        <w:rPr>
          <w:rFonts w:cs="Calibri"/>
        </w:rPr>
        <w:t>’s receipts and production</w:t>
      </w:r>
      <w:r w:rsidR="003F4D08">
        <w:rPr>
          <w:rFonts w:cs="Calibri"/>
        </w:rPr>
        <w:t>,</w:t>
      </w:r>
      <w:r w:rsidR="0064150D">
        <w:rPr>
          <w:rFonts w:cs="Calibri"/>
        </w:rPr>
        <w:t xml:space="preserve"> and</w:t>
      </w:r>
      <w:r w:rsidR="003F4D08">
        <w:rPr>
          <w:rFonts w:cs="Calibri"/>
        </w:rPr>
        <w:t xml:space="preserve"> therefore</w:t>
      </w:r>
      <w:r w:rsidRPr="00F12980">
        <w:rPr>
          <w:rFonts w:cs="Calibri"/>
        </w:rPr>
        <w:t xml:space="preserve"> a material origin verification is required.</w:t>
      </w:r>
    </w:p>
    <w:p w14:paraId="586CF6A8" w14:textId="77777777" w:rsidR="00A20DE6" w:rsidRPr="00477635" w:rsidRDefault="00A20DE6" w:rsidP="00C21A33">
      <w:pPr>
        <w:spacing w:after="0" w:line="240" w:lineRule="auto"/>
        <w:jc w:val="both"/>
      </w:pPr>
    </w:p>
    <w:p w14:paraId="673F7F3E" w14:textId="5F328AC4" w:rsidR="00A20DE6" w:rsidRDefault="001078D1" w:rsidP="00C21A33">
      <w:pPr>
        <w:pStyle w:val="Heading2"/>
        <w:spacing w:before="0"/>
        <w:ind w:left="360" w:hanging="360"/>
        <w:jc w:val="both"/>
      </w:pPr>
      <w:bookmarkStart w:id="16" w:name="_Toc315084458"/>
      <w:bookmarkStart w:id="17" w:name="_Toc450308519"/>
      <w:r>
        <w:t>A</w:t>
      </w:r>
      <w:r w:rsidR="00A20DE6">
        <w:t>udit perio</w:t>
      </w:r>
      <w:bookmarkEnd w:id="16"/>
      <w:r>
        <w:t>d</w:t>
      </w:r>
      <w:bookmarkEnd w:id="17"/>
      <w:r w:rsidR="003412FE">
        <w:t xml:space="preserve"> and frequency</w:t>
      </w:r>
    </w:p>
    <w:p w14:paraId="5DF302BC" w14:textId="77777777" w:rsidR="00352A9B" w:rsidRDefault="00352A9B" w:rsidP="00C21A33">
      <w:pPr>
        <w:spacing w:after="0" w:line="240" w:lineRule="auto"/>
        <w:jc w:val="both"/>
      </w:pPr>
    </w:p>
    <w:p w14:paraId="0A01632A" w14:textId="1B2E2C2D" w:rsidR="00A20DE6" w:rsidRDefault="00A20DE6" w:rsidP="00C21A33">
      <w:pPr>
        <w:spacing w:after="0" w:line="240" w:lineRule="auto"/>
        <w:jc w:val="both"/>
      </w:pPr>
      <w:r>
        <w:t>The initial audit period will cover the period from one year prior to the date of the L</w:t>
      </w:r>
      <w:r w:rsidR="00DC628C">
        <w:t>IS</w:t>
      </w:r>
      <w:r>
        <w:t xml:space="preserve">. The Auditee may determine the end date it wishes to utilize for the LIS as long as it is not more than four weeks before the LIS is provided to the </w:t>
      </w:r>
      <w:r w:rsidR="00595708">
        <w:t>CFSI</w:t>
      </w:r>
      <w:r>
        <w:t xml:space="preserve">.  </w:t>
      </w:r>
    </w:p>
    <w:p w14:paraId="7245FC79" w14:textId="77777777" w:rsidR="00A20DE6" w:rsidRDefault="00A20DE6" w:rsidP="00C21A33">
      <w:pPr>
        <w:pStyle w:val="ListParagraph"/>
        <w:spacing w:after="0" w:line="240" w:lineRule="auto"/>
        <w:jc w:val="both"/>
      </w:pPr>
    </w:p>
    <w:p w14:paraId="01F3B355" w14:textId="77777777" w:rsidR="00A20DE6" w:rsidRDefault="00A20DE6" w:rsidP="00C21A33">
      <w:pPr>
        <w:spacing w:after="0" w:line="240" w:lineRule="auto"/>
        <w:jc w:val="both"/>
      </w:pPr>
      <w:r>
        <w:t>The next audit conducted on an Auditee who has failed to maintain their compliance status will include the entire period of non-compliance up to a maximum of two years.</w:t>
      </w:r>
    </w:p>
    <w:p w14:paraId="7D3383A4" w14:textId="77777777" w:rsidR="00A20DE6" w:rsidRDefault="00A20DE6" w:rsidP="00C21A33">
      <w:pPr>
        <w:pStyle w:val="ListParagraph"/>
        <w:spacing w:after="0" w:line="240" w:lineRule="auto"/>
        <w:jc w:val="both"/>
      </w:pPr>
    </w:p>
    <w:p w14:paraId="1F13DF5F" w14:textId="27A8FB13" w:rsidR="00A20DE6" w:rsidRDefault="00A20DE6" w:rsidP="00C21A33">
      <w:pPr>
        <w:spacing w:after="0" w:line="240" w:lineRule="auto"/>
        <w:jc w:val="both"/>
      </w:pPr>
      <w:r w:rsidRPr="00502A81">
        <w:t xml:space="preserve">An Auditee who has previously been found to be non-compliant due to unresolved findings will </w:t>
      </w:r>
      <w:r w:rsidR="00C4330A" w:rsidRPr="00502A81">
        <w:t>not be permitted on the CFSP Compliant List f</w:t>
      </w:r>
      <w:r w:rsidRPr="00502A81">
        <w:t>or a period of six months</w:t>
      </w:r>
      <w:r>
        <w:t xml:space="preserve">. At the time they re-enter the </w:t>
      </w:r>
      <w:r w:rsidR="00C4330A">
        <w:t>audit process</w:t>
      </w:r>
      <w:r>
        <w:t>, the Auditee will need to include the entire period from the end of the last LIS submitted, up to a maximum of two years.</w:t>
      </w:r>
    </w:p>
    <w:p w14:paraId="3FE19B98" w14:textId="77777777" w:rsidR="003412FE" w:rsidRDefault="003412FE" w:rsidP="00C21A33">
      <w:pPr>
        <w:spacing w:after="0" w:line="240" w:lineRule="auto"/>
        <w:jc w:val="both"/>
      </w:pPr>
    </w:p>
    <w:p w14:paraId="4D1AECAF" w14:textId="6399D812" w:rsidR="003412FE" w:rsidRDefault="003412FE" w:rsidP="00C21A33">
      <w:pPr>
        <w:spacing w:after="0" w:line="240" w:lineRule="auto"/>
        <w:jc w:val="both"/>
      </w:pPr>
      <w:r>
        <w:t xml:space="preserve">An Auditee who has been accepted into the Risk-Based Audit Program will undergo a full CFSP audit every three years. </w:t>
      </w:r>
    </w:p>
    <w:p w14:paraId="74654B88" w14:textId="77777777" w:rsidR="0075013B" w:rsidRDefault="0075013B" w:rsidP="00C21A33">
      <w:pPr>
        <w:pStyle w:val="Heading2"/>
        <w:numPr>
          <w:ilvl w:val="0"/>
          <w:numId w:val="0"/>
        </w:numPr>
        <w:jc w:val="both"/>
      </w:pPr>
    </w:p>
    <w:p w14:paraId="50A284D9" w14:textId="77777777" w:rsidR="007D641F" w:rsidRDefault="007D641F" w:rsidP="00A723BE">
      <w:pPr>
        <w:pStyle w:val="Heading2"/>
        <w:spacing w:before="0"/>
        <w:ind w:left="360" w:hanging="360"/>
        <w:jc w:val="both"/>
      </w:pPr>
      <w:bookmarkStart w:id="18" w:name="_Toc450308520"/>
      <w:r w:rsidRPr="00502A81">
        <w:t>Start-up arrangements</w:t>
      </w:r>
      <w:bookmarkEnd w:id="18"/>
    </w:p>
    <w:p w14:paraId="7B5F27BE" w14:textId="77777777" w:rsidR="00A723BE" w:rsidRDefault="00A723BE" w:rsidP="00A723BE">
      <w:pPr>
        <w:spacing w:after="0"/>
        <w:jc w:val="both"/>
      </w:pPr>
    </w:p>
    <w:p w14:paraId="05CF681B" w14:textId="402CF739" w:rsidR="007D641F" w:rsidRDefault="007D641F" w:rsidP="00A723BE">
      <w:pPr>
        <w:spacing w:after="0"/>
        <w:jc w:val="both"/>
      </w:pPr>
      <w:r w:rsidRPr="00C02773">
        <w:t>It is recognized that a CFSP audit cannot be performed on a smelter until after operations have begun. Smelters planning to com</w:t>
      </w:r>
      <w:r w:rsidR="00B02483">
        <w:t xml:space="preserve">mence operations may apply to </w:t>
      </w:r>
      <w:r w:rsidRPr="00C02773">
        <w:t xml:space="preserve">the CFSP to be listed as Active smelters; however, the audit cannot be conducted until the smelter </w:t>
      </w:r>
      <w:r w:rsidRPr="00502A81">
        <w:t xml:space="preserve">has at least </w:t>
      </w:r>
      <w:r w:rsidR="00B02483">
        <w:t>three</w:t>
      </w:r>
      <w:r w:rsidRPr="00502A81">
        <w:t xml:space="preserve"> months of material transactions</w:t>
      </w:r>
      <w:r w:rsidR="00B02483">
        <w:t xml:space="preserve"> and has produced intermediates </w:t>
      </w:r>
      <w:r w:rsidRPr="00502A81">
        <w:t>and/or products.</w:t>
      </w:r>
      <w:r>
        <w:t xml:space="preserve"> </w:t>
      </w:r>
    </w:p>
    <w:p w14:paraId="235F971E" w14:textId="77777777" w:rsidR="00201148" w:rsidRDefault="00201148" w:rsidP="00A723BE">
      <w:pPr>
        <w:spacing w:after="0"/>
        <w:jc w:val="both"/>
      </w:pPr>
    </w:p>
    <w:p w14:paraId="25351219" w14:textId="77777777" w:rsidR="00201148" w:rsidRPr="00654B55" w:rsidRDefault="00201148" w:rsidP="00A723BE">
      <w:pPr>
        <w:spacing w:after="0"/>
        <w:jc w:val="both"/>
      </w:pPr>
    </w:p>
    <w:p w14:paraId="315623A7" w14:textId="77777777" w:rsidR="007D641F" w:rsidRDefault="007D641F" w:rsidP="00C21A33">
      <w:pPr>
        <w:spacing w:after="0" w:line="240" w:lineRule="auto"/>
        <w:jc w:val="both"/>
        <w:rPr>
          <w:rFonts w:cs="Calibri"/>
        </w:rPr>
      </w:pPr>
    </w:p>
    <w:p w14:paraId="478A5A56" w14:textId="2F3CE36C" w:rsidR="007A0932" w:rsidRDefault="00CA5254" w:rsidP="00C21A33">
      <w:pPr>
        <w:pStyle w:val="Heading1"/>
        <w:jc w:val="both"/>
      </w:pPr>
      <w:bookmarkStart w:id="19" w:name="_Toc315084460"/>
      <w:bookmarkStart w:id="20" w:name="_Toc450308521"/>
      <w:r>
        <w:t>Origin D</w:t>
      </w:r>
      <w:r w:rsidR="009A289A">
        <w:t>etermination</w:t>
      </w:r>
      <w:bookmarkEnd w:id="19"/>
      <w:bookmarkEnd w:id="20"/>
    </w:p>
    <w:p w14:paraId="143CD056" w14:textId="77777777" w:rsidR="004912C4" w:rsidRDefault="004912C4" w:rsidP="00C21A33">
      <w:pPr>
        <w:spacing w:after="0" w:line="240" w:lineRule="auto"/>
        <w:jc w:val="both"/>
      </w:pPr>
    </w:p>
    <w:p w14:paraId="51FC11F7" w14:textId="334CE779" w:rsidR="00011415" w:rsidRDefault="004912C4" w:rsidP="004912C4">
      <w:pPr>
        <w:spacing w:after="0" w:line="240" w:lineRule="auto"/>
        <w:jc w:val="both"/>
      </w:pPr>
      <w:r>
        <w:t xml:space="preserve">Various types of </w:t>
      </w:r>
      <w:r w:rsidR="00011415" w:rsidRPr="00677261">
        <w:t>documentatio</w:t>
      </w:r>
      <w:r>
        <w:t xml:space="preserve">n will be required to verify origin of </w:t>
      </w:r>
      <w:r w:rsidR="00011415" w:rsidRPr="00677261">
        <w:t>material</w:t>
      </w:r>
      <w:r>
        <w:t>s, d</w:t>
      </w:r>
      <w:r w:rsidRPr="00677261">
        <w:t>epending on the type of material, as well as the risk level associated with the material source</w:t>
      </w:r>
      <w:r w:rsidR="00011415" w:rsidRPr="00677261">
        <w:t>.</w:t>
      </w:r>
      <w:r w:rsidR="00011415">
        <w:t xml:space="preserve"> Not all materials require </w:t>
      </w:r>
      <w:r w:rsidR="001078D1">
        <w:t xml:space="preserve">an </w:t>
      </w:r>
      <w:r w:rsidR="00011415">
        <w:t>origin determination.</w:t>
      </w:r>
      <w:r w:rsidR="003437C2">
        <w:t xml:space="preserve"> </w:t>
      </w:r>
      <w:r w:rsidR="00300BDC" w:rsidRPr="00677261">
        <w:t xml:space="preserve">Each level requires increasing documentation as the origin of </w:t>
      </w:r>
      <w:r w:rsidR="00300BDC">
        <w:t>material</w:t>
      </w:r>
      <w:r w:rsidR="00300BDC" w:rsidRPr="00677261">
        <w:t xml:space="preserve"> approaches </w:t>
      </w:r>
      <w:r w:rsidR="00D64AD4">
        <w:t>CAHRAs</w:t>
      </w:r>
      <w:r w:rsidR="00300BDC" w:rsidRPr="00677261">
        <w:t xml:space="preserve"> or is undetermined.</w:t>
      </w:r>
      <w:r w:rsidR="00300BDC" w:rsidRPr="00300BDC">
        <w:t xml:space="preserve"> </w:t>
      </w:r>
      <w:r w:rsidR="00300BDC" w:rsidRPr="00677261">
        <w:t>If materials rece</w:t>
      </w:r>
      <w:r w:rsidR="00300BDC" w:rsidRPr="00011415">
        <w:t xml:space="preserve">ived </w:t>
      </w:r>
      <w:r>
        <w:t xml:space="preserve">by the smelter </w:t>
      </w:r>
      <w:r w:rsidR="00300BDC" w:rsidRPr="00011415">
        <w:t xml:space="preserve">are a combination </w:t>
      </w:r>
      <w:r w:rsidR="00300BDC">
        <w:t>of different categories of origin</w:t>
      </w:r>
      <w:r w:rsidR="00300BDC" w:rsidRPr="00677261">
        <w:t>, the documentation requirem</w:t>
      </w:r>
      <w:r w:rsidR="00300BDC" w:rsidRPr="00011415">
        <w:t xml:space="preserve">ents shall follow that of </w:t>
      </w:r>
      <w:r w:rsidR="00300BDC">
        <w:t xml:space="preserve">the </w:t>
      </w:r>
      <w:r>
        <w:t>more stringent</w:t>
      </w:r>
      <w:r w:rsidR="00300BDC">
        <w:t xml:space="preserve"> category</w:t>
      </w:r>
      <w:r w:rsidR="00300BDC" w:rsidRPr="00677261">
        <w:t xml:space="preserve">. </w:t>
      </w:r>
      <w:r w:rsidR="00300BDC">
        <w:t xml:space="preserve">Smelters </w:t>
      </w:r>
      <w:r w:rsidR="00300BDC" w:rsidRPr="00677261">
        <w:t>shal</w:t>
      </w:r>
      <w:r w:rsidR="00300BDC" w:rsidRPr="004912C4">
        <w:t>l refer to Section VIII</w:t>
      </w:r>
      <w:r w:rsidR="00830884" w:rsidRPr="004912C4">
        <w:t>.2</w:t>
      </w:r>
      <w:r w:rsidR="00300BDC" w:rsidRPr="004912C4">
        <w:t xml:space="preserve"> and Annex I for</w:t>
      </w:r>
      <w:r w:rsidR="00300BDC" w:rsidRPr="00677261">
        <w:t xml:space="preserve"> the compliance requirements for each category of material in scope.</w:t>
      </w:r>
    </w:p>
    <w:p w14:paraId="2DEBECA1" w14:textId="77777777" w:rsidR="00716C45" w:rsidRPr="00677261" w:rsidRDefault="00716C45" w:rsidP="00C21A33">
      <w:pPr>
        <w:spacing w:after="0" w:line="240" w:lineRule="auto"/>
        <w:jc w:val="both"/>
      </w:pPr>
    </w:p>
    <w:p w14:paraId="0970359F" w14:textId="47113D10" w:rsidR="00011415" w:rsidRDefault="004912C4" w:rsidP="00C21A33">
      <w:pPr>
        <w:spacing w:after="0" w:line="240" w:lineRule="auto"/>
        <w:jc w:val="both"/>
      </w:pPr>
      <w:r>
        <w:t>The material categories include</w:t>
      </w:r>
      <w:r w:rsidR="00011415" w:rsidRPr="00677261">
        <w:t>:</w:t>
      </w:r>
    </w:p>
    <w:p w14:paraId="4EE1B534" w14:textId="77777777" w:rsidR="00716C45" w:rsidRPr="00677261" w:rsidRDefault="00716C45" w:rsidP="00C21A33">
      <w:pPr>
        <w:spacing w:after="0" w:line="240" w:lineRule="auto"/>
        <w:jc w:val="both"/>
      </w:pPr>
    </w:p>
    <w:p w14:paraId="30C5BE46" w14:textId="3FFA6360" w:rsidR="00011415" w:rsidRPr="00677261" w:rsidRDefault="00011415" w:rsidP="006256DB">
      <w:pPr>
        <w:pStyle w:val="ListParagraph"/>
        <w:numPr>
          <w:ilvl w:val="0"/>
          <w:numId w:val="28"/>
        </w:numPr>
        <w:spacing w:after="0" w:line="240" w:lineRule="auto"/>
        <w:jc w:val="both"/>
      </w:pPr>
      <w:r>
        <w:t>Mined material</w:t>
      </w:r>
      <w:r w:rsidR="00502A81">
        <w:t>.</w:t>
      </w:r>
    </w:p>
    <w:p w14:paraId="6CC5847A" w14:textId="74741B05" w:rsidR="008038EB" w:rsidRDefault="008038EB" w:rsidP="006256DB">
      <w:pPr>
        <w:pStyle w:val="ListParagraph"/>
        <w:numPr>
          <w:ilvl w:val="0"/>
          <w:numId w:val="28"/>
        </w:numPr>
        <w:spacing w:after="0" w:line="240" w:lineRule="auto"/>
        <w:jc w:val="both"/>
      </w:pPr>
      <w:r>
        <w:t>Intermediate material received from another smelter (</w:t>
      </w:r>
      <w:r w:rsidR="00502A81">
        <w:t xml:space="preserve">i.e. </w:t>
      </w:r>
      <w:r w:rsidR="00B07369">
        <w:t xml:space="preserve">a </w:t>
      </w:r>
      <w:r>
        <w:t>supplying smelter)</w:t>
      </w:r>
      <w:r w:rsidR="00502A81">
        <w:t>.</w:t>
      </w:r>
    </w:p>
    <w:p w14:paraId="2D214F09" w14:textId="253D7F23" w:rsidR="00011415" w:rsidRPr="00677261" w:rsidRDefault="00011415" w:rsidP="006256DB">
      <w:pPr>
        <w:pStyle w:val="ListParagraph"/>
        <w:numPr>
          <w:ilvl w:val="0"/>
          <w:numId w:val="28"/>
        </w:numPr>
        <w:spacing w:after="0" w:line="240" w:lineRule="auto"/>
        <w:jc w:val="both"/>
      </w:pPr>
      <w:r>
        <w:t>Secondary</w:t>
      </w:r>
      <w:r w:rsidRPr="00677261">
        <w:t xml:space="preserve"> material</w:t>
      </w:r>
      <w:r>
        <w:t xml:space="preserve"> (commonly referred to as “recycled” or “scrap”)</w:t>
      </w:r>
      <w:r w:rsidR="00502A81">
        <w:t>.</w:t>
      </w:r>
    </w:p>
    <w:p w14:paraId="09924281" w14:textId="2196E0EA" w:rsidR="00011415" w:rsidRDefault="00011415" w:rsidP="006256DB">
      <w:pPr>
        <w:pStyle w:val="ListParagraph"/>
        <w:numPr>
          <w:ilvl w:val="0"/>
          <w:numId w:val="28"/>
        </w:numPr>
        <w:spacing w:after="0" w:line="240" w:lineRule="auto"/>
        <w:jc w:val="both"/>
      </w:pPr>
      <w:r>
        <w:t>Legacy material (materials "outside the supply chain" prior to January 31, 2013</w:t>
      </w:r>
      <w:r w:rsidR="00AE59EC">
        <w:t>, also referred to as “grandfathered” material</w:t>
      </w:r>
      <w:r>
        <w:t>)</w:t>
      </w:r>
      <w:r w:rsidR="00502A81">
        <w:t>.</w:t>
      </w:r>
    </w:p>
    <w:p w14:paraId="16F4A196" w14:textId="012EB7DB" w:rsidR="00ED6C49" w:rsidRDefault="00ED6C49" w:rsidP="006256DB">
      <w:pPr>
        <w:pStyle w:val="ListParagraph"/>
        <w:numPr>
          <w:ilvl w:val="0"/>
          <w:numId w:val="28"/>
        </w:numPr>
        <w:spacing w:after="0" w:line="240" w:lineRule="auto"/>
        <w:jc w:val="both"/>
      </w:pPr>
      <w:r>
        <w:t>Assay Samples</w:t>
      </w:r>
      <w:r w:rsidR="00502A81">
        <w:t>.</w:t>
      </w:r>
    </w:p>
    <w:p w14:paraId="4B2143BC" w14:textId="77777777" w:rsidR="00300BDC" w:rsidRDefault="00300BDC" w:rsidP="00C21A33">
      <w:pPr>
        <w:spacing w:after="0" w:line="240" w:lineRule="auto"/>
        <w:jc w:val="both"/>
      </w:pPr>
    </w:p>
    <w:p w14:paraId="65F755DC" w14:textId="067125F7" w:rsidR="00011415" w:rsidRDefault="00011415" w:rsidP="00C21A33">
      <w:pPr>
        <w:spacing w:after="0" w:line="240" w:lineRule="auto"/>
        <w:jc w:val="both"/>
      </w:pPr>
      <w:r>
        <w:t xml:space="preserve">For </w:t>
      </w:r>
      <w:r w:rsidR="004912C4">
        <w:t>C</w:t>
      </w:r>
      <w:r>
        <w:t xml:space="preserve">ategory 1, mined material, </w:t>
      </w:r>
      <w:r w:rsidR="004912C4">
        <w:t xml:space="preserve">origin determination is required. </w:t>
      </w:r>
    </w:p>
    <w:p w14:paraId="1F348478" w14:textId="77777777" w:rsidR="00716C45" w:rsidRDefault="00716C45" w:rsidP="00C21A33">
      <w:pPr>
        <w:spacing w:after="0" w:line="240" w:lineRule="auto"/>
        <w:jc w:val="both"/>
      </w:pPr>
    </w:p>
    <w:p w14:paraId="5BF1F47B" w14:textId="407D0F18" w:rsidR="008038EB" w:rsidRDefault="004912C4" w:rsidP="00C21A33">
      <w:pPr>
        <w:spacing w:after="0" w:line="240" w:lineRule="auto"/>
        <w:jc w:val="both"/>
      </w:pPr>
      <w:r>
        <w:t>For C</w:t>
      </w:r>
      <w:r w:rsidR="008038EB">
        <w:t xml:space="preserve">ategory 2, intermediate material, </w:t>
      </w:r>
      <w:r w:rsidR="00300BDC">
        <w:t>origin determination is required unless the material is processe</w:t>
      </w:r>
      <w:r w:rsidR="00B07369">
        <w:t xml:space="preserve">d by a company which is itself </w:t>
      </w:r>
      <w:r w:rsidR="00300BDC">
        <w:t xml:space="preserve">CFSP compliant or is compliant with </w:t>
      </w:r>
      <w:r>
        <w:t>a cross-recognized</w:t>
      </w:r>
      <w:r w:rsidR="00300BDC">
        <w:t xml:space="preserve"> program.</w:t>
      </w:r>
    </w:p>
    <w:p w14:paraId="3CCAB833" w14:textId="77777777" w:rsidR="00716C45" w:rsidRDefault="00716C45" w:rsidP="00C21A33">
      <w:pPr>
        <w:spacing w:after="0" w:line="240" w:lineRule="auto"/>
        <w:jc w:val="both"/>
      </w:pPr>
    </w:p>
    <w:p w14:paraId="1521E25F" w14:textId="77777777" w:rsidR="004912C4" w:rsidRDefault="004912C4" w:rsidP="00C21A33">
      <w:pPr>
        <w:spacing w:after="0" w:line="240" w:lineRule="auto"/>
        <w:jc w:val="both"/>
      </w:pPr>
      <w:r>
        <w:t>For C</w:t>
      </w:r>
      <w:r w:rsidR="008038EB">
        <w:t>at</w:t>
      </w:r>
      <w:r>
        <w:t>egories 3 – 5, secondary, legacy, and assay, origin determination is not required.</w:t>
      </w:r>
    </w:p>
    <w:p w14:paraId="2CD8C15C" w14:textId="77777777" w:rsidR="004912C4" w:rsidRDefault="004912C4" w:rsidP="00C21A33">
      <w:pPr>
        <w:spacing w:after="0" w:line="240" w:lineRule="auto"/>
        <w:jc w:val="both"/>
      </w:pPr>
    </w:p>
    <w:p w14:paraId="01A70C2B" w14:textId="4FF6098A" w:rsidR="008038EB" w:rsidRDefault="008038EB" w:rsidP="00A723BE">
      <w:pPr>
        <w:spacing w:after="0" w:line="240" w:lineRule="auto"/>
        <w:jc w:val="both"/>
      </w:pPr>
      <w:r w:rsidRPr="004912C4">
        <w:t>Please refer to Annex I</w:t>
      </w:r>
      <w:r w:rsidR="00830884" w:rsidRPr="004912C4">
        <w:t xml:space="preserve"> </w:t>
      </w:r>
      <w:r w:rsidRPr="004912C4">
        <w:t>for more details on the compliance requirements for materials that do not require the origin determination.</w:t>
      </w:r>
    </w:p>
    <w:p w14:paraId="0D29963F" w14:textId="77777777" w:rsidR="00BE566C" w:rsidRDefault="00BE566C" w:rsidP="00A723BE">
      <w:pPr>
        <w:spacing w:after="0" w:line="240" w:lineRule="auto"/>
        <w:jc w:val="both"/>
        <w:rPr>
          <w:highlight w:val="yellow"/>
        </w:rPr>
        <w:sectPr w:rsidR="00BE566C">
          <w:headerReference w:type="default" r:id="rId10"/>
          <w:footerReference w:type="default" r:id="rId11"/>
          <w:pgSz w:w="12240" w:h="15840"/>
          <w:pgMar w:top="1440" w:right="1440" w:bottom="1440" w:left="1440" w:header="720" w:footer="720" w:gutter="0"/>
          <w:cols w:space="720"/>
        </w:sectPr>
      </w:pPr>
    </w:p>
    <w:p w14:paraId="7CE28EA7" w14:textId="4493FFE3" w:rsidR="00ED4AEA" w:rsidRDefault="00CA5254" w:rsidP="00A723BE">
      <w:pPr>
        <w:pStyle w:val="Heading1"/>
        <w:jc w:val="both"/>
      </w:pPr>
      <w:bookmarkStart w:id="21" w:name="_Toc315084465"/>
      <w:bookmarkStart w:id="22" w:name="_Toc450308522"/>
      <w:r>
        <w:lastRenderedPageBreak/>
        <w:t>CFSP Compliance R</w:t>
      </w:r>
      <w:r w:rsidR="0051213F">
        <w:t>equirements</w:t>
      </w:r>
      <w:bookmarkEnd w:id="21"/>
      <w:bookmarkEnd w:id="22"/>
    </w:p>
    <w:p w14:paraId="2951852D" w14:textId="77777777" w:rsidR="00716C45" w:rsidRDefault="00716C45" w:rsidP="00A723BE">
      <w:pPr>
        <w:spacing w:line="240" w:lineRule="auto"/>
        <w:jc w:val="both"/>
      </w:pPr>
    </w:p>
    <w:p w14:paraId="725FA72E" w14:textId="308EBD09" w:rsidR="00EF0331" w:rsidRDefault="00EF0331" w:rsidP="00A723BE">
      <w:pPr>
        <w:spacing w:line="240" w:lineRule="auto"/>
        <w:jc w:val="both"/>
      </w:pPr>
      <w:r>
        <w:t xml:space="preserve">This section defines the </w:t>
      </w:r>
      <w:r w:rsidR="00646728">
        <w:t xml:space="preserve">CFSP </w:t>
      </w:r>
      <w:r>
        <w:t>compliance requirements</w:t>
      </w:r>
      <w:r w:rsidR="00646728">
        <w:t>. The c</w:t>
      </w:r>
      <w:r w:rsidR="00CE0AA0">
        <w:t xml:space="preserve">ompliance requirements are </w:t>
      </w:r>
      <w:r w:rsidR="00A3042C">
        <w:t>divided into</w:t>
      </w:r>
      <w:r w:rsidR="00CE0AA0">
        <w:t xml:space="preserve"> two main areas:</w:t>
      </w:r>
    </w:p>
    <w:p w14:paraId="5E8DD936" w14:textId="2DF0A144" w:rsidR="00CE0AA0" w:rsidRDefault="00CE0AA0" w:rsidP="00C21A33">
      <w:pPr>
        <w:jc w:val="both"/>
      </w:pPr>
      <w:r w:rsidRPr="00502A81">
        <w:rPr>
          <w:b/>
        </w:rPr>
        <w:t>Internal Material Control Systems</w:t>
      </w:r>
      <w:r w:rsidR="00027FB2">
        <w:t xml:space="preserve">: </w:t>
      </w:r>
      <w:r w:rsidR="00646728">
        <w:t>These r</w:t>
      </w:r>
      <w:r w:rsidR="00027FB2">
        <w:t>equirements serve</w:t>
      </w:r>
      <w:r>
        <w:t xml:space="preserve"> to validate the smelter’s ability </w:t>
      </w:r>
      <w:r w:rsidR="007C0EDC">
        <w:t xml:space="preserve">to </w:t>
      </w:r>
      <w:r w:rsidR="00396D85">
        <w:t>record, control and monitor</w:t>
      </w:r>
      <w:r w:rsidR="00646728">
        <w:t xml:space="preserve"> the</w:t>
      </w:r>
      <w:r w:rsidR="00396D85">
        <w:t xml:space="preserve"> material </w:t>
      </w:r>
      <w:r w:rsidR="00027FB2">
        <w:t xml:space="preserve">received, stored, processed or otherwise handled by the smelter. </w:t>
      </w:r>
      <w:r w:rsidR="007872C0">
        <w:t>This section includes CFSP s</w:t>
      </w:r>
      <w:r w:rsidR="00694805">
        <w:t xml:space="preserve">pecific compliance requirements </w:t>
      </w:r>
      <w:r w:rsidR="00541AE4">
        <w:t>and relate</w:t>
      </w:r>
      <w:r w:rsidR="00286EE2">
        <w:t>s</w:t>
      </w:r>
      <w:r w:rsidR="00694805">
        <w:t xml:space="preserve"> to </w:t>
      </w:r>
      <w:r w:rsidR="00541AE4">
        <w:t>the period where</w:t>
      </w:r>
      <w:r w:rsidR="00694805">
        <w:t xml:space="preserve"> material</w:t>
      </w:r>
      <w:r w:rsidR="00541AE4">
        <w:t xml:space="preserve"> is</w:t>
      </w:r>
      <w:r w:rsidR="00694805">
        <w:t xml:space="preserve"> owned and</w:t>
      </w:r>
      <w:r w:rsidR="00931FAB">
        <w:t>/o</w:t>
      </w:r>
      <w:r w:rsidR="00646728">
        <w:t>r physically under the smelter’s control</w:t>
      </w:r>
      <w:r w:rsidR="00694805">
        <w:t xml:space="preserve">. </w:t>
      </w:r>
    </w:p>
    <w:p w14:paraId="4F779196" w14:textId="1B99039A" w:rsidR="009F1FF4" w:rsidRDefault="00027FB2" w:rsidP="00646728">
      <w:pPr>
        <w:jc w:val="both"/>
      </w:pPr>
      <w:r w:rsidRPr="00502A81">
        <w:rPr>
          <w:b/>
        </w:rPr>
        <w:t>Due Diligence Management Systems</w:t>
      </w:r>
      <w:r>
        <w:t xml:space="preserve">: </w:t>
      </w:r>
      <w:r w:rsidR="00646728">
        <w:t>Thee r</w:t>
      </w:r>
      <w:r>
        <w:t xml:space="preserve">equirements serve to validate the smelter’s </w:t>
      </w:r>
      <w:r w:rsidR="00646728">
        <w:t xml:space="preserve">alignment with the </w:t>
      </w:r>
      <w:r>
        <w:t>five (5) steps</w:t>
      </w:r>
      <w:r w:rsidR="007872C0">
        <w:t xml:space="preserve"> of the OECD G</w:t>
      </w:r>
      <w:r>
        <w:t xml:space="preserve">uidance </w:t>
      </w:r>
      <w:r w:rsidR="00CA71E8">
        <w:t>so as to ensure</w:t>
      </w:r>
      <w:r>
        <w:t xml:space="preserve"> that risks related</w:t>
      </w:r>
      <w:r w:rsidR="00646728">
        <w:t xml:space="preserve"> to armed conflict and</w:t>
      </w:r>
      <w:r>
        <w:t xml:space="preserve"> serious human rights abuse</w:t>
      </w:r>
      <w:r w:rsidR="004663B8">
        <w:t>s</w:t>
      </w:r>
      <w:r>
        <w:t xml:space="preserve"> are identified and adequately mitigated by the smelter.</w:t>
      </w:r>
      <w:r w:rsidR="007872C0">
        <w:t xml:space="preserve"> This section includes </w:t>
      </w:r>
      <w:r w:rsidR="00646728">
        <w:t xml:space="preserve">due diligence </w:t>
      </w:r>
      <w:r w:rsidR="007872C0">
        <w:t xml:space="preserve">compliance requirements </w:t>
      </w:r>
      <w:r w:rsidR="00694805">
        <w:t xml:space="preserve">and relate to </w:t>
      </w:r>
      <w:r w:rsidR="00286EE2">
        <w:t xml:space="preserve">the period that is </w:t>
      </w:r>
      <w:r w:rsidR="00286EE2" w:rsidRPr="00502A81">
        <w:rPr>
          <w:b/>
        </w:rPr>
        <w:t>prior or during</w:t>
      </w:r>
      <w:r w:rsidR="00286EE2">
        <w:t xml:space="preserve"> the time when material is</w:t>
      </w:r>
      <w:r w:rsidR="00541AE4">
        <w:t xml:space="preserve"> owned </w:t>
      </w:r>
      <w:r w:rsidR="007356F3">
        <w:t>and/</w:t>
      </w:r>
      <w:r w:rsidR="00541AE4">
        <w:t xml:space="preserve">or physically </w:t>
      </w:r>
      <w:r w:rsidR="00931FAB">
        <w:t>under the control</w:t>
      </w:r>
      <w:r w:rsidR="007356F3">
        <w:t xml:space="preserve"> of </w:t>
      </w:r>
      <w:r w:rsidR="00541AE4">
        <w:t>the smelter</w:t>
      </w:r>
    </w:p>
    <w:p w14:paraId="391910B1" w14:textId="4F2DE8D2" w:rsidR="009F1FF4" w:rsidRDefault="00735380" w:rsidP="005C2EF0">
      <w:pPr>
        <w:pStyle w:val="Heading2"/>
        <w:ind w:left="0"/>
      </w:pPr>
      <w:bookmarkStart w:id="23" w:name="_Toc450308523"/>
      <w:r>
        <w:t>Internal Material Control Systems</w:t>
      </w:r>
      <w:bookmarkEnd w:id="23"/>
    </w:p>
    <w:p w14:paraId="3B29D71B" w14:textId="77777777" w:rsidR="00735380" w:rsidRDefault="00735380" w:rsidP="00A723BE">
      <w:pPr>
        <w:spacing w:after="0" w:line="240" w:lineRule="auto"/>
        <w:jc w:val="both"/>
      </w:pPr>
    </w:p>
    <w:p w14:paraId="582BDCC5" w14:textId="41CF7DF9" w:rsidR="00646728" w:rsidRDefault="00646728" w:rsidP="00A723BE">
      <w:pPr>
        <w:spacing w:after="0" w:line="240" w:lineRule="auto"/>
        <w:jc w:val="both"/>
      </w:pPr>
      <w:r>
        <w:t xml:space="preserve">The smelter shall </w:t>
      </w:r>
      <w:r w:rsidR="00893669" w:rsidRPr="00F12980" w:rsidDel="00300BDC">
        <w:rPr>
          <w:rFonts w:cs="Calibri"/>
        </w:rPr>
        <w:t>establish, implement</w:t>
      </w:r>
      <w:r w:rsidR="00893669">
        <w:rPr>
          <w:rFonts w:cs="Calibri"/>
        </w:rPr>
        <w:t xml:space="preserve">, and </w:t>
      </w:r>
      <w:r w:rsidR="00893669" w:rsidRPr="00F12980" w:rsidDel="00300BDC">
        <w:rPr>
          <w:rFonts w:cs="Calibri"/>
        </w:rPr>
        <w:t xml:space="preserve">maintain </w:t>
      </w:r>
      <w:r w:rsidR="00AF43FE">
        <w:t xml:space="preserve">the following </w:t>
      </w:r>
      <w:r w:rsidR="00DC628C">
        <w:t>processes:</w:t>
      </w:r>
    </w:p>
    <w:p w14:paraId="6E948FEF" w14:textId="77777777" w:rsidR="00A723BE" w:rsidRDefault="00A723BE" w:rsidP="00A723BE">
      <w:pPr>
        <w:spacing w:after="0" w:line="240" w:lineRule="auto"/>
        <w:jc w:val="both"/>
      </w:pPr>
    </w:p>
    <w:p w14:paraId="11A2310B" w14:textId="77777777" w:rsidR="009F1FF4" w:rsidRDefault="009F1FF4" w:rsidP="006256DB">
      <w:pPr>
        <w:pStyle w:val="Heading3"/>
        <w:numPr>
          <w:ilvl w:val="0"/>
          <w:numId w:val="20"/>
        </w:numPr>
        <w:spacing w:before="0"/>
        <w:ind w:left="360"/>
        <w:jc w:val="both"/>
      </w:pPr>
      <w:bookmarkStart w:id="24" w:name="_Toc450308524"/>
      <w:r>
        <w:t>Material Control Systems</w:t>
      </w:r>
      <w:bookmarkEnd w:id="24"/>
    </w:p>
    <w:p w14:paraId="16402533" w14:textId="77777777" w:rsidR="009F1FF4" w:rsidRDefault="009F1FF4" w:rsidP="00A723BE">
      <w:pPr>
        <w:pStyle w:val="ListParagraph"/>
        <w:spacing w:after="0" w:line="240" w:lineRule="auto"/>
        <w:ind w:left="990"/>
        <w:jc w:val="both"/>
      </w:pPr>
    </w:p>
    <w:p w14:paraId="0D201937" w14:textId="77777777" w:rsidR="009F1FF4" w:rsidRDefault="009F1FF4" w:rsidP="006256DB">
      <w:pPr>
        <w:numPr>
          <w:ilvl w:val="0"/>
          <w:numId w:val="37"/>
        </w:numPr>
        <w:spacing w:after="0" w:line="240" w:lineRule="auto"/>
        <w:ind w:left="720"/>
        <w:jc w:val="both"/>
      </w:pPr>
      <w:r>
        <w:t>A process to receive, weigh, and allocate unique lot numbers to incoming materials based on the physical receipt of material and regardless of the point of transition of ownership. The process shall record the date the material is received.</w:t>
      </w:r>
    </w:p>
    <w:p w14:paraId="2373FD9E" w14:textId="77777777" w:rsidR="009F1FF4" w:rsidRDefault="009F1FF4" w:rsidP="00AF43FE">
      <w:pPr>
        <w:spacing w:after="0" w:line="240" w:lineRule="auto"/>
        <w:ind w:left="720"/>
        <w:jc w:val="both"/>
      </w:pPr>
    </w:p>
    <w:p w14:paraId="33D55770" w14:textId="5EE60068" w:rsidR="009F1FF4" w:rsidRDefault="009F1FF4" w:rsidP="006256DB">
      <w:pPr>
        <w:numPr>
          <w:ilvl w:val="0"/>
          <w:numId w:val="37"/>
        </w:numPr>
        <w:spacing w:after="0" w:line="240" w:lineRule="auto"/>
        <w:ind w:left="720"/>
        <w:jc w:val="both"/>
      </w:pPr>
      <w:r>
        <w:t>A process to record the location, status and weight of in-process inventory. The process shall ensure changes in weight due to processing are monitored for losses</w:t>
      </w:r>
      <w:r w:rsidR="005C0EE4">
        <w:t>. U</w:t>
      </w:r>
      <w:r>
        <w:t xml:space="preserve">nreasonable losses shall be investigated and the findings established in writing. </w:t>
      </w:r>
    </w:p>
    <w:p w14:paraId="1A8830A4" w14:textId="77777777" w:rsidR="009F1FF4" w:rsidRDefault="009F1FF4" w:rsidP="00AF43FE">
      <w:pPr>
        <w:spacing w:after="0" w:line="240" w:lineRule="auto"/>
        <w:ind w:left="720"/>
        <w:jc w:val="both"/>
      </w:pPr>
    </w:p>
    <w:p w14:paraId="75BECBF5" w14:textId="77777777" w:rsidR="009F1FF4" w:rsidRDefault="009F1FF4" w:rsidP="006256DB">
      <w:pPr>
        <w:numPr>
          <w:ilvl w:val="0"/>
          <w:numId w:val="37"/>
        </w:numPr>
        <w:spacing w:after="0" w:line="240" w:lineRule="auto"/>
        <w:ind w:left="720"/>
        <w:jc w:val="both"/>
      </w:pPr>
      <w:r>
        <w:t>A process to record weights and allocate unique lot numbers for products and shipments.</w:t>
      </w:r>
    </w:p>
    <w:p w14:paraId="33A361AD" w14:textId="77777777" w:rsidR="009F1FF4" w:rsidRDefault="009F1FF4" w:rsidP="00AF43FE">
      <w:pPr>
        <w:spacing w:after="0" w:line="240" w:lineRule="auto"/>
        <w:ind w:left="720"/>
        <w:jc w:val="both"/>
      </w:pPr>
    </w:p>
    <w:p w14:paraId="1DE70470" w14:textId="77777777" w:rsidR="009F1FF4" w:rsidRDefault="009F1FF4" w:rsidP="006256DB">
      <w:pPr>
        <w:numPr>
          <w:ilvl w:val="0"/>
          <w:numId w:val="37"/>
        </w:numPr>
        <w:spacing w:after="0" w:line="240" w:lineRule="auto"/>
        <w:ind w:left="720"/>
        <w:jc w:val="both"/>
      </w:pPr>
      <w:r>
        <w:t>A process to record products shipped and dates these were shipped from the smelter during the audit period.</w:t>
      </w:r>
    </w:p>
    <w:p w14:paraId="42A20751" w14:textId="77777777" w:rsidR="009F1FF4" w:rsidRDefault="009F1FF4" w:rsidP="00AF43FE">
      <w:pPr>
        <w:spacing w:after="0" w:line="240" w:lineRule="auto"/>
        <w:ind w:left="720"/>
        <w:jc w:val="both"/>
      </w:pPr>
    </w:p>
    <w:p w14:paraId="5CFF84F7" w14:textId="77777777" w:rsidR="009F1FF4" w:rsidRDefault="009F1FF4" w:rsidP="006256DB">
      <w:pPr>
        <w:pStyle w:val="ListParagraph"/>
        <w:numPr>
          <w:ilvl w:val="0"/>
          <w:numId w:val="37"/>
        </w:numPr>
        <w:spacing w:after="0" w:line="240" w:lineRule="auto"/>
        <w:ind w:left="720"/>
        <w:jc w:val="both"/>
      </w:pPr>
      <w:r>
        <w:t>A regular, at a minimum annual, process for the r</w:t>
      </w:r>
      <w:r w:rsidRPr="001A5754">
        <w:t xml:space="preserve">econciliation of receipts, inventories, losses, tolled and sales quantities to demonstrate receipts are fully accounted for in a </w:t>
      </w:r>
      <w:r>
        <w:t>mass balance.</w:t>
      </w:r>
    </w:p>
    <w:p w14:paraId="519CF011" w14:textId="77777777" w:rsidR="009F1FF4" w:rsidRDefault="009F1FF4" w:rsidP="00AF43FE">
      <w:pPr>
        <w:spacing w:after="0" w:line="240" w:lineRule="auto"/>
        <w:ind w:left="720"/>
        <w:jc w:val="both"/>
      </w:pPr>
    </w:p>
    <w:p w14:paraId="0CB28B14" w14:textId="77777777" w:rsidR="009F1FF4" w:rsidRDefault="009F1FF4" w:rsidP="006256DB">
      <w:pPr>
        <w:numPr>
          <w:ilvl w:val="0"/>
          <w:numId w:val="37"/>
        </w:numPr>
        <w:spacing w:after="0" w:line="240" w:lineRule="auto"/>
        <w:ind w:left="720"/>
        <w:jc w:val="both"/>
      </w:pPr>
      <w:r>
        <w:t>A process to investigate any discrepancies observed in the course of the regular reconciliation.</w:t>
      </w:r>
    </w:p>
    <w:p w14:paraId="388E3C02" w14:textId="77777777" w:rsidR="009F1FF4" w:rsidRDefault="009F1FF4" w:rsidP="00AF43FE">
      <w:pPr>
        <w:spacing w:after="0" w:line="240" w:lineRule="auto"/>
        <w:ind w:left="720"/>
        <w:jc w:val="both"/>
      </w:pPr>
    </w:p>
    <w:p w14:paraId="43A0E5FA" w14:textId="784B74EC" w:rsidR="009F1FF4" w:rsidRDefault="009F1FF4" w:rsidP="006256DB">
      <w:pPr>
        <w:numPr>
          <w:ilvl w:val="0"/>
          <w:numId w:val="37"/>
        </w:numPr>
        <w:spacing w:after="0" w:line="240" w:lineRule="auto"/>
        <w:ind w:left="720"/>
        <w:jc w:val="both"/>
      </w:pPr>
      <w:r w:rsidRPr="00716F58">
        <w:t>Documented list of all purchases and/or receipts with lot numbers assigned (including toll materials)</w:t>
      </w:r>
      <w:r>
        <w:t xml:space="preserve"> such as the</w:t>
      </w:r>
      <w:r w:rsidR="00DC628C">
        <w:t xml:space="preserve"> LIS</w:t>
      </w:r>
      <w:r>
        <w:rPr>
          <w:rStyle w:val="FootnoteReference"/>
        </w:rPr>
        <w:footnoteReference w:id="7"/>
      </w:r>
      <w:r>
        <w:t xml:space="preserve">. </w:t>
      </w:r>
    </w:p>
    <w:p w14:paraId="0EA38C14" w14:textId="77777777" w:rsidR="009F1FF4" w:rsidRDefault="009F1FF4" w:rsidP="00AF43FE">
      <w:pPr>
        <w:spacing w:after="0" w:line="240" w:lineRule="auto"/>
        <w:ind w:left="720"/>
        <w:jc w:val="both"/>
      </w:pPr>
    </w:p>
    <w:p w14:paraId="33419017" w14:textId="77777777" w:rsidR="009F1FF4" w:rsidRDefault="009F1FF4" w:rsidP="006256DB">
      <w:pPr>
        <w:numPr>
          <w:ilvl w:val="0"/>
          <w:numId w:val="37"/>
        </w:numPr>
        <w:spacing w:after="0" w:line="240" w:lineRule="auto"/>
        <w:ind w:left="720"/>
        <w:jc w:val="both"/>
      </w:pPr>
      <w:r>
        <w:lastRenderedPageBreak/>
        <w:t>A material balance statement on the opening and closing dates of the audit period.</w:t>
      </w:r>
    </w:p>
    <w:p w14:paraId="75419E5D" w14:textId="77777777" w:rsidR="009F1FF4" w:rsidRDefault="009F1FF4" w:rsidP="00C21A33">
      <w:pPr>
        <w:pStyle w:val="Heading3"/>
        <w:spacing w:before="0"/>
        <w:jc w:val="both"/>
      </w:pPr>
    </w:p>
    <w:p w14:paraId="71655815" w14:textId="77777777" w:rsidR="009F1FF4" w:rsidRDefault="009F1FF4" w:rsidP="006256DB">
      <w:pPr>
        <w:pStyle w:val="Heading3"/>
        <w:numPr>
          <w:ilvl w:val="0"/>
          <w:numId w:val="20"/>
        </w:numPr>
        <w:tabs>
          <w:tab w:val="left" w:pos="360"/>
        </w:tabs>
        <w:spacing w:before="0"/>
        <w:ind w:left="360"/>
        <w:jc w:val="both"/>
      </w:pPr>
      <w:bookmarkStart w:id="25" w:name="_Toc450308525"/>
      <w:r w:rsidRPr="001E781B">
        <w:t>Mass Balance Calculation</w:t>
      </w:r>
      <w:bookmarkEnd w:id="25"/>
      <w:r w:rsidRPr="00136514">
        <w:t xml:space="preserve">  </w:t>
      </w:r>
    </w:p>
    <w:p w14:paraId="7C4C78C7" w14:textId="77777777" w:rsidR="00B05395" w:rsidRDefault="00B05395" w:rsidP="00B05395">
      <w:pPr>
        <w:tabs>
          <w:tab w:val="left" w:pos="360"/>
        </w:tabs>
        <w:spacing w:after="0" w:line="240" w:lineRule="auto"/>
        <w:ind w:left="360"/>
        <w:jc w:val="both"/>
      </w:pPr>
    </w:p>
    <w:p w14:paraId="57F11909" w14:textId="63DF7149" w:rsidR="009F1FF4" w:rsidRPr="00136514" w:rsidRDefault="009F1FF4" w:rsidP="00B05395">
      <w:pPr>
        <w:tabs>
          <w:tab w:val="left" w:pos="360"/>
        </w:tabs>
        <w:spacing w:after="0" w:line="240" w:lineRule="auto"/>
        <w:ind w:left="360"/>
        <w:jc w:val="both"/>
      </w:pPr>
      <w:r w:rsidRPr="00136514">
        <w:t xml:space="preserve">Using the information generated by the internal material control system, the smelter shall be able to calculate the mass balance as a means to substantiate the total material processed by the smelter facility subject to the audit. The mass balance </w:t>
      </w:r>
      <w:r w:rsidR="00B95874">
        <w:t>verifies</w:t>
      </w:r>
      <w:r w:rsidRPr="00136514">
        <w:t xml:space="preserve"> the quantity of material received and in inventory during the audit period matches that expected, taking into account the possible error margin of inventory, stock and loss estimation.</w:t>
      </w:r>
    </w:p>
    <w:p w14:paraId="575A4E67" w14:textId="77777777" w:rsidR="009F1FF4" w:rsidRDefault="009F1FF4" w:rsidP="00AF43FE">
      <w:pPr>
        <w:tabs>
          <w:tab w:val="left" w:pos="360"/>
        </w:tabs>
        <w:spacing w:after="0" w:line="240" w:lineRule="auto"/>
        <w:ind w:left="360"/>
        <w:jc w:val="both"/>
      </w:pPr>
    </w:p>
    <w:p w14:paraId="3E7EA0FB" w14:textId="77777777" w:rsidR="009F1FF4" w:rsidRDefault="009F1FF4" w:rsidP="00AF43FE">
      <w:pPr>
        <w:tabs>
          <w:tab w:val="left" w:pos="360"/>
        </w:tabs>
        <w:spacing w:after="0" w:line="240" w:lineRule="auto"/>
        <w:ind w:left="360"/>
        <w:jc w:val="both"/>
      </w:pPr>
      <w:r>
        <w:t>For the purpose of the CFSP audit, the mass balance calculation shall provide the following information</w:t>
      </w:r>
      <w:r w:rsidRPr="00716F58">
        <w:t>:</w:t>
      </w:r>
    </w:p>
    <w:p w14:paraId="1AF295AD" w14:textId="77777777" w:rsidR="009F1FF4" w:rsidRPr="00716F58" w:rsidRDefault="009F1FF4" w:rsidP="00AF43FE">
      <w:pPr>
        <w:tabs>
          <w:tab w:val="left" w:pos="360"/>
        </w:tabs>
        <w:spacing w:after="0" w:line="240" w:lineRule="auto"/>
        <w:ind w:left="360"/>
        <w:jc w:val="both"/>
      </w:pPr>
    </w:p>
    <w:p w14:paraId="6764D52D" w14:textId="77777777" w:rsidR="009F1FF4" w:rsidRDefault="009F1FF4" w:rsidP="00AF43FE">
      <w:pPr>
        <w:tabs>
          <w:tab w:val="left" w:pos="360"/>
        </w:tabs>
        <w:spacing w:after="0" w:line="240" w:lineRule="auto"/>
        <w:ind w:left="360"/>
        <w:jc w:val="both"/>
        <w:rPr>
          <w:i/>
          <w:iCs/>
        </w:rPr>
      </w:pPr>
      <w:r w:rsidRPr="00716F58">
        <w:rPr>
          <w:i/>
          <w:iCs/>
        </w:rPr>
        <w:t xml:space="preserve">Closing </w:t>
      </w:r>
      <w:r>
        <w:rPr>
          <w:i/>
          <w:iCs/>
        </w:rPr>
        <w:t>inventory (calculated)</w:t>
      </w:r>
      <w:r w:rsidRPr="00716F58">
        <w:rPr>
          <w:i/>
          <w:iCs/>
        </w:rPr>
        <w:t xml:space="preserve"> = Opening </w:t>
      </w:r>
      <w:r>
        <w:rPr>
          <w:i/>
          <w:iCs/>
        </w:rPr>
        <w:t xml:space="preserve">inventory (declared) </w:t>
      </w:r>
      <w:r w:rsidRPr="00716F58">
        <w:rPr>
          <w:i/>
          <w:iCs/>
        </w:rPr>
        <w:t xml:space="preserve">+ receipts – product shipments – </w:t>
      </w:r>
      <w:r>
        <w:rPr>
          <w:i/>
          <w:iCs/>
        </w:rPr>
        <w:t xml:space="preserve">estimated </w:t>
      </w:r>
      <w:r w:rsidRPr="00716F58">
        <w:rPr>
          <w:i/>
          <w:iCs/>
        </w:rPr>
        <w:t>losses</w:t>
      </w:r>
    </w:p>
    <w:p w14:paraId="22531C8E" w14:textId="77777777" w:rsidR="009F1FF4" w:rsidRPr="00716F58" w:rsidRDefault="009F1FF4" w:rsidP="00AF43FE">
      <w:pPr>
        <w:tabs>
          <w:tab w:val="left" w:pos="360"/>
        </w:tabs>
        <w:spacing w:after="0" w:line="240" w:lineRule="auto"/>
        <w:ind w:left="360"/>
        <w:jc w:val="both"/>
        <w:rPr>
          <w:i/>
          <w:iCs/>
        </w:rPr>
      </w:pPr>
    </w:p>
    <w:p w14:paraId="697B3B11" w14:textId="77777777" w:rsidR="009F1FF4" w:rsidRDefault="009F1FF4" w:rsidP="00AF43FE">
      <w:pPr>
        <w:tabs>
          <w:tab w:val="left" w:pos="360"/>
        </w:tabs>
        <w:spacing w:after="0" w:line="240" w:lineRule="auto"/>
        <w:ind w:left="360"/>
        <w:jc w:val="both"/>
      </w:pPr>
      <w:r>
        <w:t>The closing inventory (declared) and the closing inventory (calculated) must be within t</w:t>
      </w:r>
      <w:r w:rsidRPr="00716F58">
        <w:t>he</w:t>
      </w:r>
      <w:r>
        <w:t xml:space="preserve"> allowed maximum </w:t>
      </w:r>
      <w:r w:rsidRPr="00716F58">
        <w:t xml:space="preserve">margin of error of 10%. </w:t>
      </w:r>
      <w:r>
        <w:t>For the purposes of the CFSP audit, t</w:t>
      </w:r>
      <w:r w:rsidRPr="00716F58">
        <w:t>he margin of error % will be calculated as follows</w:t>
      </w:r>
      <w:r>
        <w:t>:</w:t>
      </w:r>
    </w:p>
    <w:p w14:paraId="3795DFF5" w14:textId="77777777" w:rsidR="009F1FF4" w:rsidRPr="00716F58" w:rsidRDefault="009F1FF4" w:rsidP="00AF43FE">
      <w:pPr>
        <w:tabs>
          <w:tab w:val="left" w:pos="360"/>
        </w:tabs>
        <w:spacing w:after="0" w:line="240" w:lineRule="auto"/>
        <w:ind w:left="360"/>
        <w:jc w:val="both"/>
      </w:pPr>
    </w:p>
    <w:p w14:paraId="0BBD793F" w14:textId="77777777" w:rsidR="009F1FF4" w:rsidRPr="00716F58" w:rsidRDefault="007817B3" w:rsidP="00AF43FE">
      <w:pPr>
        <w:tabs>
          <w:tab w:val="left" w:pos="360"/>
        </w:tabs>
        <w:spacing w:after="0" w:line="240" w:lineRule="auto"/>
        <w:ind w:left="360"/>
        <w:jc w:val="both"/>
      </w:pPr>
      <m:oMath>
        <m:f>
          <m:fPr>
            <m:ctrlPr>
              <w:rPr>
                <w:rFonts w:ascii="Cambria Math" w:hAnsi="Cambria Math"/>
                <w:i/>
              </w:rPr>
            </m:ctrlPr>
          </m:fPr>
          <m:num>
            <m:r>
              <w:rPr>
                <w:rFonts w:ascii="Cambria Math" w:hAnsi="Cambria Math"/>
              </w:rPr>
              <m:t>(closing inventory(calculated)-closing inventory(declared)</m:t>
            </m:r>
          </m:num>
          <m:den>
            <m:r>
              <w:rPr>
                <w:rFonts w:ascii="Cambria Math" w:hAnsi="Cambria Math"/>
              </w:rPr>
              <m:t>total material processed</m:t>
            </m:r>
          </m:den>
        </m:f>
      </m:oMath>
      <w:r w:rsidR="009F1FF4" w:rsidRPr="00716F58">
        <w:fldChar w:fldCharType="begin"/>
      </w:r>
      <w:r w:rsidR="009F1FF4" w:rsidRPr="00716F58">
        <w:instrText xml:space="preserve"> QUOTE </w:instrText>
      </w:r>
      <w:r w:rsidR="009F1FF4" w:rsidRPr="00716F58">
        <w:rPr>
          <w:noProof/>
          <w:lang w:eastAsia="en-US"/>
        </w:rPr>
        <w:drawing>
          <wp:inline distT="0" distB="0" distL="0" distR="0" wp14:anchorId="1AE78196" wp14:editId="3E630A4B">
            <wp:extent cx="3371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1850" cy="361950"/>
                    </a:xfrm>
                    <a:prstGeom prst="rect">
                      <a:avLst/>
                    </a:prstGeom>
                    <a:noFill/>
                    <a:ln>
                      <a:noFill/>
                    </a:ln>
                  </pic:spPr>
                </pic:pic>
              </a:graphicData>
            </a:graphic>
          </wp:inline>
        </w:drawing>
      </w:r>
      <w:r w:rsidR="009F1FF4" w:rsidRPr="00716F58">
        <w:instrText xml:space="preserve"> </w:instrText>
      </w:r>
      <w:r w:rsidR="009F1FF4" w:rsidRPr="00716F58">
        <w:fldChar w:fldCharType="end"/>
      </w:r>
      <w:r w:rsidR="009F1FF4" w:rsidRPr="00716F58">
        <w:t xml:space="preserve"> x 100 &lt;10%</w:t>
      </w:r>
    </w:p>
    <w:p w14:paraId="27958039" w14:textId="77777777" w:rsidR="00AF43FE" w:rsidRDefault="00AF43FE" w:rsidP="00AF43FE">
      <w:pPr>
        <w:tabs>
          <w:tab w:val="left" w:pos="360"/>
        </w:tabs>
        <w:spacing w:after="0" w:line="240" w:lineRule="auto"/>
        <w:ind w:left="360"/>
        <w:jc w:val="both"/>
      </w:pPr>
    </w:p>
    <w:p w14:paraId="7EE1250C" w14:textId="77777777" w:rsidR="009F1FF4" w:rsidRDefault="009F1FF4" w:rsidP="00AF43FE">
      <w:pPr>
        <w:tabs>
          <w:tab w:val="left" w:pos="360"/>
        </w:tabs>
        <w:spacing w:after="0" w:line="240" w:lineRule="auto"/>
        <w:ind w:left="360"/>
        <w:jc w:val="both"/>
      </w:pPr>
      <w:r w:rsidRPr="00716F58">
        <w:t>where:</w:t>
      </w:r>
    </w:p>
    <w:p w14:paraId="1E574249" w14:textId="77777777" w:rsidR="009F1FF4" w:rsidRPr="00716F58" w:rsidRDefault="009F1FF4" w:rsidP="00AF43FE">
      <w:pPr>
        <w:tabs>
          <w:tab w:val="left" w:pos="360"/>
        </w:tabs>
        <w:spacing w:after="0" w:line="240" w:lineRule="auto"/>
        <w:ind w:left="360"/>
        <w:jc w:val="both"/>
      </w:pPr>
    </w:p>
    <w:p w14:paraId="1496A6D7" w14:textId="2034EA5F" w:rsidR="009F1FF4" w:rsidRPr="00716F58" w:rsidRDefault="00B95874" w:rsidP="00AF43FE">
      <w:pPr>
        <w:tabs>
          <w:tab w:val="left" w:pos="360"/>
          <w:tab w:val="left" w:pos="2880"/>
        </w:tabs>
        <w:spacing w:after="0" w:line="240" w:lineRule="auto"/>
        <w:ind w:left="360"/>
        <w:jc w:val="both"/>
      </w:pPr>
      <w:r>
        <w:rPr>
          <w:i/>
          <w:iCs/>
        </w:rPr>
        <w:t>closing</w:t>
      </w:r>
      <w:r w:rsidR="009F1FF4" w:rsidRPr="00716F58">
        <w:rPr>
          <w:i/>
          <w:iCs/>
        </w:rPr>
        <w:t xml:space="preserve"> inventory</w:t>
      </w:r>
      <w:r w:rsidR="009F1FF4" w:rsidRPr="00716F58">
        <w:rPr>
          <w:vertAlign w:val="subscript"/>
        </w:rPr>
        <w:t>calculated</w:t>
      </w:r>
      <w:r w:rsidR="009F1FF4" w:rsidRPr="00716F58">
        <w:t xml:space="preserve"> </w:t>
      </w:r>
      <w:r w:rsidR="00AF43FE">
        <w:tab/>
      </w:r>
      <w:r w:rsidR="009F1FF4">
        <w:t>=</w:t>
      </w:r>
      <w:r w:rsidR="00AF43FE">
        <w:t xml:space="preserve"> </w:t>
      </w:r>
      <w:r w:rsidR="009F1FF4" w:rsidRPr="00716F58">
        <w:t xml:space="preserve">see theoretical </w:t>
      </w:r>
      <w:r w:rsidR="009F1FF4" w:rsidRPr="00716F58">
        <w:rPr>
          <w:i/>
          <w:iCs/>
        </w:rPr>
        <w:t>‘Closing stock at time of audit’</w:t>
      </w:r>
      <w:r w:rsidR="009F1FF4" w:rsidRPr="00716F58">
        <w:t xml:space="preserve"> equation above</w:t>
      </w:r>
    </w:p>
    <w:p w14:paraId="3AEA5B34" w14:textId="77777777" w:rsidR="00206422" w:rsidRDefault="00206422" w:rsidP="00AF43FE">
      <w:pPr>
        <w:tabs>
          <w:tab w:val="left" w:pos="360"/>
          <w:tab w:val="left" w:pos="3240"/>
        </w:tabs>
        <w:spacing w:after="0" w:line="240" w:lineRule="auto"/>
        <w:ind w:left="360" w:hanging="2520"/>
        <w:jc w:val="both"/>
        <w:rPr>
          <w:i/>
          <w:iCs/>
        </w:rPr>
      </w:pPr>
    </w:p>
    <w:p w14:paraId="728B420C" w14:textId="29101355" w:rsidR="009F1FF4" w:rsidRPr="00716F58" w:rsidRDefault="00AF43FE" w:rsidP="00AF43FE">
      <w:pPr>
        <w:tabs>
          <w:tab w:val="left" w:pos="360"/>
          <w:tab w:val="left" w:pos="3240"/>
        </w:tabs>
        <w:spacing w:after="0" w:line="240" w:lineRule="auto"/>
        <w:ind w:left="2880" w:hanging="2610"/>
        <w:jc w:val="both"/>
      </w:pPr>
      <w:r>
        <w:rPr>
          <w:i/>
          <w:iCs/>
        </w:rPr>
        <w:tab/>
      </w:r>
      <w:r w:rsidR="00B95874">
        <w:rPr>
          <w:i/>
          <w:iCs/>
        </w:rPr>
        <w:t>closing</w:t>
      </w:r>
      <w:r w:rsidR="009F1FF4" w:rsidRPr="00716F58">
        <w:rPr>
          <w:i/>
          <w:iCs/>
        </w:rPr>
        <w:t xml:space="preserve"> inventory</w:t>
      </w:r>
      <w:r w:rsidR="009F1FF4" w:rsidRPr="00716F58">
        <w:rPr>
          <w:vertAlign w:val="subscript"/>
        </w:rPr>
        <w:t>declared</w:t>
      </w:r>
      <w:r w:rsidR="009F1FF4" w:rsidRPr="00716F58">
        <w:t xml:space="preserve"> </w:t>
      </w:r>
      <w:r w:rsidR="009F1FF4" w:rsidRPr="00716F58">
        <w:tab/>
        <w:t>=</w:t>
      </w:r>
      <w:r>
        <w:t xml:space="preserve"> </w:t>
      </w:r>
      <w:r w:rsidR="009F1FF4" w:rsidRPr="00716F58">
        <w:t>actual closing stock based on physical material inventory in existence at the time of audit</w:t>
      </w:r>
    </w:p>
    <w:p w14:paraId="4BB9A1BF" w14:textId="77777777" w:rsidR="00206422" w:rsidRDefault="00206422" w:rsidP="00AF43FE">
      <w:pPr>
        <w:tabs>
          <w:tab w:val="left" w:pos="360"/>
        </w:tabs>
        <w:spacing w:after="0" w:line="240" w:lineRule="auto"/>
        <w:ind w:left="360" w:hanging="90"/>
        <w:jc w:val="both"/>
        <w:rPr>
          <w:i/>
          <w:iCs/>
        </w:rPr>
      </w:pPr>
    </w:p>
    <w:p w14:paraId="6371AC2F" w14:textId="5B8852C3" w:rsidR="009F1FF4" w:rsidRDefault="00AF43FE" w:rsidP="00AF43FE">
      <w:pPr>
        <w:tabs>
          <w:tab w:val="left" w:pos="360"/>
        </w:tabs>
        <w:spacing w:after="0" w:line="240" w:lineRule="auto"/>
        <w:ind w:left="2874" w:hanging="2604"/>
        <w:jc w:val="both"/>
      </w:pPr>
      <w:r>
        <w:rPr>
          <w:i/>
          <w:iCs/>
        </w:rPr>
        <w:tab/>
      </w:r>
      <w:r w:rsidR="009F1FF4" w:rsidRPr="00716F58">
        <w:rPr>
          <w:i/>
          <w:iCs/>
        </w:rPr>
        <w:t>total material processed</w:t>
      </w:r>
      <w:r w:rsidR="009F1FF4" w:rsidRPr="00716F58">
        <w:tab/>
        <w:t xml:space="preserve">= </w:t>
      </w:r>
      <w:r w:rsidR="009F1FF4">
        <w:t>t</w:t>
      </w:r>
      <w:r w:rsidR="009F1FF4" w:rsidRPr="00716F58">
        <w:t>otal material processed by the facility during the audit period; this figure must be calculated by the Smelter</w:t>
      </w:r>
      <w:r w:rsidR="009F1FF4">
        <w:t>.</w:t>
      </w:r>
      <w:r w:rsidR="009F1FF4" w:rsidRPr="00716F58">
        <w:t xml:space="preserve"> </w:t>
      </w:r>
      <w:r w:rsidR="009F1FF4">
        <w:t>T</w:t>
      </w:r>
      <w:r w:rsidR="009F1FF4" w:rsidRPr="00716F58">
        <w:t>he total material received during the audit period (see the LIS) can be used as an alternate during the audit if the calculation cannot be made for some reason</w:t>
      </w:r>
      <w:r w:rsidR="009F1FF4">
        <w:t>.</w:t>
      </w:r>
    </w:p>
    <w:p w14:paraId="581241EA" w14:textId="532B21D3" w:rsidR="00133834" w:rsidRDefault="00133834" w:rsidP="00AF43FE">
      <w:pPr>
        <w:tabs>
          <w:tab w:val="left" w:pos="360"/>
        </w:tabs>
        <w:ind w:left="360"/>
        <w:jc w:val="both"/>
      </w:pPr>
      <w:r>
        <w:br w:type="page"/>
      </w:r>
    </w:p>
    <w:p w14:paraId="38BD738B" w14:textId="77777777" w:rsidR="009F1FF4" w:rsidRPr="00716C45" w:rsidRDefault="009F1FF4" w:rsidP="00B05395">
      <w:pPr>
        <w:spacing w:after="0" w:line="240" w:lineRule="auto"/>
        <w:ind w:firstLine="720"/>
        <w:jc w:val="both"/>
      </w:pPr>
    </w:p>
    <w:p w14:paraId="7838B682" w14:textId="219B7864" w:rsidR="003648DE" w:rsidRPr="003648DE" w:rsidDel="00300BDC" w:rsidRDefault="009F1FF4" w:rsidP="00B05395">
      <w:pPr>
        <w:pStyle w:val="Heading2"/>
        <w:spacing w:before="0"/>
        <w:ind w:left="0"/>
        <w:jc w:val="both"/>
      </w:pPr>
      <w:bookmarkStart w:id="26" w:name="_Toc315084466"/>
      <w:bookmarkStart w:id="27" w:name="_Toc450308526"/>
      <w:r>
        <w:t>Due Diligence</w:t>
      </w:r>
      <w:bookmarkEnd w:id="26"/>
      <w:r w:rsidR="003648DE">
        <w:t xml:space="preserve"> Management Systems</w:t>
      </w:r>
      <w:bookmarkEnd w:id="27"/>
    </w:p>
    <w:p w14:paraId="451A7D80" w14:textId="67BD38A4" w:rsidR="00A62810" w:rsidDel="00300BDC" w:rsidRDefault="00A62810" w:rsidP="00B05395">
      <w:pPr>
        <w:spacing w:after="0" w:line="240" w:lineRule="auto"/>
        <w:jc w:val="both"/>
        <w:rPr>
          <w:rFonts w:cs="Calibri"/>
        </w:rPr>
      </w:pPr>
    </w:p>
    <w:p w14:paraId="2A74AF73" w14:textId="4700B0C9" w:rsidR="003648DE" w:rsidRDefault="003648DE" w:rsidP="006256DB">
      <w:pPr>
        <w:pStyle w:val="Heading3"/>
        <w:numPr>
          <w:ilvl w:val="0"/>
          <w:numId w:val="44"/>
        </w:numPr>
        <w:spacing w:before="0"/>
        <w:ind w:left="360"/>
        <w:jc w:val="both"/>
      </w:pPr>
      <w:bookmarkStart w:id="28" w:name="_Toc450308527"/>
      <w:r>
        <w:t>OECD Due Diligence Guidance: Step 1 – Strong Management Systems</w:t>
      </w:r>
      <w:bookmarkEnd w:id="28"/>
    </w:p>
    <w:p w14:paraId="597B906A" w14:textId="77777777" w:rsidR="003648DE" w:rsidRDefault="003648DE" w:rsidP="00B05395">
      <w:pPr>
        <w:spacing w:after="0" w:line="240" w:lineRule="auto"/>
        <w:jc w:val="both"/>
        <w:rPr>
          <w:rFonts w:cs="Calibri"/>
        </w:rPr>
      </w:pPr>
    </w:p>
    <w:p w14:paraId="3E23B7C2" w14:textId="5E09F456" w:rsidR="00A62810" w:rsidDel="00300BDC" w:rsidRDefault="00A62810" w:rsidP="00B05395">
      <w:pPr>
        <w:spacing w:after="0" w:line="240" w:lineRule="auto"/>
        <w:jc w:val="both"/>
        <w:rPr>
          <w:rFonts w:cs="Calibri"/>
        </w:rPr>
      </w:pPr>
      <w:r w:rsidRPr="00F12980" w:rsidDel="00300BDC">
        <w:rPr>
          <w:rFonts w:cs="Calibri"/>
        </w:rPr>
        <w:t>To achieve the intended outcomes</w:t>
      </w:r>
      <w:r w:rsidR="00CA71E8">
        <w:rPr>
          <w:rFonts w:cs="Calibri"/>
        </w:rPr>
        <w:t xml:space="preserve"> of the OECD Guidance</w:t>
      </w:r>
      <w:r w:rsidRPr="00F12980" w:rsidDel="00300BDC">
        <w:rPr>
          <w:rFonts w:cs="Calibri"/>
        </w:rPr>
        <w:t xml:space="preserve">, including </w:t>
      </w:r>
      <w:r w:rsidR="00893669">
        <w:rPr>
          <w:rFonts w:cs="Calibri"/>
        </w:rPr>
        <w:t>continual improvement over time</w:t>
      </w:r>
      <w:r w:rsidRPr="00F12980" w:rsidDel="00300BDC">
        <w:rPr>
          <w:rFonts w:cs="Calibri"/>
        </w:rPr>
        <w:t xml:space="preserve">, the </w:t>
      </w:r>
      <w:r w:rsidDel="00300BDC">
        <w:rPr>
          <w:rFonts w:cs="Calibri"/>
        </w:rPr>
        <w:t>smelter</w:t>
      </w:r>
      <w:r w:rsidRPr="00F12980" w:rsidDel="00300BDC">
        <w:rPr>
          <w:rFonts w:cs="Calibri"/>
        </w:rPr>
        <w:t xml:space="preserve"> shall establish, implement</w:t>
      </w:r>
      <w:r w:rsidR="0076335E">
        <w:rPr>
          <w:rFonts w:cs="Calibri"/>
        </w:rPr>
        <w:t>,</w:t>
      </w:r>
      <w:r w:rsidR="002643FF">
        <w:rPr>
          <w:rFonts w:cs="Calibri"/>
        </w:rPr>
        <w:t xml:space="preserve"> and </w:t>
      </w:r>
      <w:r w:rsidRPr="00F12980" w:rsidDel="00300BDC">
        <w:rPr>
          <w:rFonts w:cs="Calibri"/>
        </w:rPr>
        <w:t xml:space="preserve">maintain </w:t>
      </w:r>
      <w:r w:rsidR="00F91011">
        <w:rPr>
          <w:rFonts w:cs="Calibri"/>
        </w:rPr>
        <w:t>a</w:t>
      </w:r>
      <w:r w:rsidR="00CA71E8">
        <w:rPr>
          <w:rFonts w:cs="Calibri"/>
        </w:rPr>
        <w:t xml:space="preserve"> </w:t>
      </w:r>
      <w:r w:rsidRPr="00F12980" w:rsidDel="00300BDC">
        <w:rPr>
          <w:rFonts w:cs="Calibri"/>
        </w:rPr>
        <w:t xml:space="preserve">management process </w:t>
      </w:r>
      <w:r w:rsidRPr="00B95874" w:rsidDel="00300BDC">
        <w:rPr>
          <w:rFonts w:cs="Calibri"/>
        </w:rPr>
        <w:t>to</w:t>
      </w:r>
      <w:r w:rsidR="00B95874" w:rsidRPr="00B95874">
        <w:rPr>
          <w:rFonts w:cs="Calibri"/>
        </w:rPr>
        <w:t xml:space="preserve"> adequately manage risks.</w:t>
      </w:r>
      <w:r w:rsidRPr="00B95874" w:rsidDel="00300BDC">
        <w:rPr>
          <w:rFonts w:cs="Calibri"/>
        </w:rPr>
        <w:t xml:space="preserve"> The </w:t>
      </w:r>
      <w:r w:rsidR="00AC09B1" w:rsidRPr="00B95874" w:rsidDel="00300BDC">
        <w:rPr>
          <w:rFonts w:cs="Calibri"/>
        </w:rPr>
        <w:t xml:space="preserve">smelter </w:t>
      </w:r>
      <w:r w:rsidRPr="00B95874" w:rsidDel="00300BDC">
        <w:rPr>
          <w:rFonts w:cs="Calibri"/>
        </w:rPr>
        <w:t xml:space="preserve">shall </w:t>
      </w:r>
      <w:r w:rsidR="00B95874" w:rsidRPr="00B95874">
        <w:rPr>
          <w:rFonts w:cs="Calibri"/>
        </w:rPr>
        <w:t xml:space="preserve">designate </w:t>
      </w:r>
      <w:r w:rsidRPr="00B95874" w:rsidDel="00300BDC">
        <w:rPr>
          <w:rFonts w:cs="Calibri"/>
        </w:rPr>
        <w:t xml:space="preserve">the availability of resources necessary to support the </w:t>
      </w:r>
      <w:r w:rsidR="00893669">
        <w:rPr>
          <w:rFonts w:cs="Calibri"/>
        </w:rPr>
        <w:t>operations and monitoring of the</w:t>
      </w:r>
      <w:r w:rsidRPr="00B95874" w:rsidDel="00300BDC">
        <w:rPr>
          <w:rFonts w:cs="Calibri"/>
        </w:rPr>
        <w:t xml:space="preserve"> management process.</w:t>
      </w:r>
      <w:r w:rsidR="00C4427D" w:rsidRPr="00B95874">
        <w:rPr>
          <w:rFonts w:cs="Calibri"/>
        </w:rPr>
        <w:t xml:space="preserve"> The management process should, at minimum, include the </w:t>
      </w:r>
      <w:r w:rsidR="00893669">
        <w:rPr>
          <w:rFonts w:cs="Calibri"/>
        </w:rPr>
        <w:t>following components and their interactions</w:t>
      </w:r>
      <w:r w:rsidR="00C4427D" w:rsidRPr="00B95874">
        <w:rPr>
          <w:rFonts w:cs="Calibri"/>
        </w:rPr>
        <w:t>.</w:t>
      </w:r>
    </w:p>
    <w:p w14:paraId="53B41202" w14:textId="2C0B5C42" w:rsidR="00A62810" w:rsidRPr="00A62810" w:rsidRDefault="00A62810" w:rsidP="00B05395">
      <w:pPr>
        <w:spacing w:after="0" w:line="240" w:lineRule="auto"/>
        <w:jc w:val="both"/>
      </w:pPr>
    </w:p>
    <w:p w14:paraId="1A8787E5" w14:textId="50ECAF54" w:rsidR="00ED4AEA" w:rsidRPr="00893669" w:rsidRDefault="00893669" w:rsidP="00B05395">
      <w:pPr>
        <w:pStyle w:val="Heading4"/>
        <w:spacing w:before="0"/>
        <w:ind w:left="0"/>
      </w:pPr>
      <w:bookmarkStart w:id="29" w:name="_Toc315084467"/>
      <w:r w:rsidRPr="00893669">
        <w:t>Conflict</w:t>
      </w:r>
      <w:r w:rsidR="00ED4AEA" w:rsidRPr="00893669">
        <w:t xml:space="preserve"> </w:t>
      </w:r>
      <w:r w:rsidR="00C418F3" w:rsidRPr="00893669">
        <w:t>M</w:t>
      </w:r>
      <w:r w:rsidR="00ED4AEA" w:rsidRPr="00893669">
        <w:t xml:space="preserve">inerals </w:t>
      </w:r>
      <w:r w:rsidR="00C418F3" w:rsidRPr="00FC0E34">
        <w:t>P</w:t>
      </w:r>
      <w:r w:rsidR="00ED4AEA" w:rsidRPr="00FC0E34">
        <w:t>olicy</w:t>
      </w:r>
      <w:bookmarkEnd w:id="29"/>
      <w:r w:rsidR="00ED4AEA" w:rsidRPr="00893669">
        <w:t xml:space="preserve"> </w:t>
      </w:r>
    </w:p>
    <w:p w14:paraId="0E04AB48" w14:textId="77777777" w:rsidR="00A62810" w:rsidRDefault="00A62810" w:rsidP="00B05395">
      <w:pPr>
        <w:spacing w:after="0" w:line="240" w:lineRule="auto"/>
        <w:jc w:val="both"/>
      </w:pPr>
    </w:p>
    <w:p w14:paraId="52472984" w14:textId="2ACD9EE2" w:rsidR="00A14CA4" w:rsidRDefault="007371E0" w:rsidP="00B05395">
      <w:pPr>
        <w:spacing w:after="0" w:line="240" w:lineRule="auto"/>
        <w:jc w:val="both"/>
      </w:pPr>
      <w:r w:rsidRPr="00716F58">
        <w:t xml:space="preserve">The smelter will have a documented, effective, and </w:t>
      </w:r>
      <w:r w:rsidR="006D7F78">
        <w:t xml:space="preserve">publicly </w:t>
      </w:r>
      <w:r w:rsidRPr="00716F58">
        <w:t>communicated conflict mineral</w:t>
      </w:r>
      <w:r w:rsidR="006D7F78">
        <w:t>s</w:t>
      </w:r>
      <w:r w:rsidRPr="00716F58">
        <w:t xml:space="preserve"> policy for procurement of </w:t>
      </w:r>
      <w:r w:rsidR="006D7F78">
        <w:t>tin or tantalum</w:t>
      </w:r>
      <w:r w:rsidRPr="00716F58">
        <w:t xml:space="preserve"> containing materials. The policy will </w:t>
      </w:r>
      <w:r>
        <w:t xml:space="preserve">be implemented </w:t>
      </w:r>
      <w:r w:rsidR="006D7F78">
        <w:t>within</w:t>
      </w:r>
      <w:r>
        <w:t xml:space="preserve"> company management processes </w:t>
      </w:r>
      <w:r w:rsidR="00C4427D">
        <w:t>and include the following key components</w:t>
      </w:r>
      <w:r w:rsidR="00AC09B1">
        <w:t>:</w:t>
      </w:r>
      <w:r w:rsidRPr="00716F58">
        <w:t xml:space="preserve">  </w:t>
      </w:r>
    </w:p>
    <w:p w14:paraId="1D97D84A" w14:textId="77777777" w:rsidR="00716C45" w:rsidRDefault="00716C45" w:rsidP="00FC0E34">
      <w:pPr>
        <w:spacing w:after="0" w:line="240" w:lineRule="auto"/>
        <w:ind w:left="720" w:hanging="360"/>
        <w:jc w:val="both"/>
      </w:pPr>
    </w:p>
    <w:p w14:paraId="78B9B366" w14:textId="630215CE" w:rsidR="000E5FE6" w:rsidRPr="00502A81" w:rsidRDefault="000E5FE6" w:rsidP="00FC0E34">
      <w:pPr>
        <w:ind w:left="720" w:hanging="360"/>
        <w:jc w:val="both"/>
        <w:rPr>
          <w:b/>
        </w:rPr>
      </w:pPr>
      <w:r w:rsidRPr="00502A81">
        <w:rPr>
          <w:b/>
        </w:rPr>
        <w:t>Definition of scope</w:t>
      </w:r>
    </w:p>
    <w:p w14:paraId="3ABD74FB" w14:textId="77777777" w:rsidR="002643FF" w:rsidRDefault="007371E0" w:rsidP="006256DB">
      <w:pPr>
        <w:pStyle w:val="ListParagraph"/>
        <w:numPr>
          <w:ilvl w:val="0"/>
          <w:numId w:val="18"/>
        </w:numPr>
        <w:spacing w:after="0" w:line="240" w:lineRule="auto"/>
        <w:ind w:left="1080"/>
        <w:jc w:val="both"/>
      </w:pPr>
      <w:r w:rsidRPr="00103B84">
        <w:t>Acknowledg</w:t>
      </w:r>
      <w:r w:rsidR="00A03EDE">
        <w:t xml:space="preserve">es </w:t>
      </w:r>
      <w:r w:rsidRPr="00103B84">
        <w:t>the issue which the p</w:t>
      </w:r>
      <w:r>
        <w:t>olicy pertains to</w:t>
      </w:r>
      <w:r w:rsidR="00876D4E">
        <w:t xml:space="preserve">, including the identification of the conflict mineral(s), region(s) and material covered by the policy and procurement practices. </w:t>
      </w:r>
    </w:p>
    <w:p w14:paraId="376ED422" w14:textId="61551BCC" w:rsidR="00716C45" w:rsidRDefault="00716C45" w:rsidP="00FC0E34">
      <w:pPr>
        <w:spacing w:after="0" w:line="240" w:lineRule="auto"/>
        <w:ind w:left="720" w:hanging="360"/>
        <w:jc w:val="both"/>
      </w:pPr>
    </w:p>
    <w:p w14:paraId="11B39702" w14:textId="4C8C31FD" w:rsidR="00A03EDE" w:rsidRPr="00502A81" w:rsidRDefault="000E5FE6" w:rsidP="00FC0E34">
      <w:pPr>
        <w:ind w:left="720" w:hanging="360"/>
        <w:jc w:val="both"/>
        <w:rPr>
          <w:b/>
        </w:rPr>
      </w:pPr>
      <w:r w:rsidRPr="00502A81">
        <w:rPr>
          <w:b/>
        </w:rPr>
        <w:t>Due Diligence requirements</w:t>
      </w:r>
    </w:p>
    <w:p w14:paraId="2082EED4" w14:textId="77777777" w:rsidR="0060611D" w:rsidRDefault="00A03EDE" w:rsidP="006256DB">
      <w:pPr>
        <w:numPr>
          <w:ilvl w:val="0"/>
          <w:numId w:val="18"/>
        </w:numPr>
        <w:spacing w:after="0" w:line="240" w:lineRule="auto"/>
        <w:ind w:left="1080"/>
        <w:jc w:val="both"/>
      </w:pPr>
      <w:r>
        <w:t xml:space="preserve">Defines the criteria for </w:t>
      </w:r>
      <w:r w:rsidR="0060611D">
        <w:t>conflict-affected and high-risk sourcing for</w:t>
      </w:r>
      <w:r>
        <w:t xml:space="preserve"> tin or tantalum supply chains.</w:t>
      </w:r>
      <w:r w:rsidR="00FB0C24">
        <w:t xml:space="preserve"> </w:t>
      </w:r>
      <w:r w:rsidR="0063715B">
        <w:t>The criteria must be consistent with the red flags defined in the OECD Due Diligence Guidance Supplement for Tin, Tantalum and Tungsten.</w:t>
      </w:r>
    </w:p>
    <w:p w14:paraId="03BC5E21" w14:textId="3966D2C7" w:rsidR="00A03EDE" w:rsidRDefault="00A03EDE" w:rsidP="006256DB">
      <w:pPr>
        <w:numPr>
          <w:ilvl w:val="0"/>
          <w:numId w:val="18"/>
        </w:numPr>
        <w:spacing w:after="0" w:line="240" w:lineRule="auto"/>
        <w:ind w:left="1080"/>
        <w:jc w:val="both"/>
      </w:pPr>
      <w:r>
        <w:t>Describes the supply chain due diligence process.</w:t>
      </w:r>
    </w:p>
    <w:p w14:paraId="13449640" w14:textId="5AA36817" w:rsidR="007371E0" w:rsidRDefault="000F6551" w:rsidP="006256DB">
      <w:pPr>
        <w:numPr>
          <w:ilvl w:val="0"/>
          <w:numId w:val="18"/>
        </w:numPr>
        <w:spacing w:after="0" w:line="240" w:lineRule="auto"/>
        <w:ind w:left="1080"/>
        <w:jc w:val="both"/>
      </w:pPr>
      <w:r>
        <w:t>Commits to monit</w:t>
      </w:r>
      <w:r w:rsidR="0060611D">
        <w:t>oring</w:t>
      </w:r>
      <w:r>
        <w:t xml:space="preserve"> transactions.</w:t>
      </w:r>
    </w:p>
    <w:p w14:paraId="3BD8325D" w14:textId="7FFE393A" w:rsidR="0060611D" w:rsidRDefault="0060611D" w:rsidP="006256DB">
      <w:pPr>
        <w:numPr>
          <w:ilvl w:val="0"/>
          <w:numId w:val="18"/>
        </w:numPr>
        <w:spacing w:after="0" w:line="240" w:lineRule="auto"/>
        <w:ind w:left="1080"/>
        <w:jc w:val="both"/>
      </w:pPr>
      <w:r>
        <w:t xml:space="preserve">Aligns with Annex II of the OECD Due Diligence Guidance.  </w:t>
      </w:r>
    </w:p>
    <w:p w14:paraId="31CCEC73" w14:textId="77777777" w:rsidR="00716C45" w:rsidRPr="00716F58" w:rsidRDefault="00716C45" w:rsidP="00FC0E34">
      <w:pPr>
        <w:spacing w:after="0" w:line="240" w:lineRule="auto"/>
        <w:ind w:left="720" w:hanging="360"/>
        <w:jc w:val="both"/>
      </w:pPr>
    </w:p>
    <w:p w14:paraId="2DC665B1" w14:textId="529F1818" w:rsidR="0063715B" w:rsidRPr="00502A81" w:rsidRDefault="0063715B" w:rsidP="00FC0E34">
      <w:pPr>
        <w:ind w:left="720" w:hanging="360"/>
        <w:jc w:val="both"/>
        <w:rPr>
          <w:b/>
        </w:rPr>
      </w:pPr>
      <w:r w:rsidRPr="00502A81">
        <w:rPr>
          <w:b/>
        </w:rPr>
        <w:t>Implementation</w:t>
      </w:r>
    </w:p>
    <w:p w14:paraId="4944C20F" w14:textId="00C16254" w:rsidR="00EF3428" w:rsidRDefault="0060611D" w:rsidP="006256DB">
      <w:pPr>
        <w:numPr>
          <w:ilvl w:val="0"/>
          <w:numId w:val="18"/>
        </w:numPr>
        <w:spacing w:after="0" w:line="240" w:lineRule="auto"/>
        <w:ind w:left="1080"/>
        <w:jc w:val="both"/>
      </w:pPr>
      <w:r>
        <w:t>Is p</w:t>
      </w:r>
      <w:r w:rsidR="007371E0" w:rsidRPr="00716F58">
        <w:t>ublicly communicated</w:t>
      </w:r>
      <w:r w:rsidR="007177B6">
        <w:t>,</w:t>
      </w:r>
      <w:r w:rsidR="007371E0">
        <w:t xml:space="preserve"> such as posted to the company</w:t>
      </w:r>
      <w:r>
        <w:t>’s</w:t>
      </w:r>
      <w:r w:rsidR="007371E0">
        <w:t xml:space="preserve"> website, contained within </w:t>
      </w:r>
      <w:r w:rsidR="00E64BB3">
        <w:t xml:space="preserve">a </w:t>
      </w:r>
      <w:r w:rsidR="007371E0">
        <w:t xml:space="preserve">Corporate Responsibility Report, Supplier Code of Conduct or other official public company communications, </w:t>
      </w:r>
      <w:r>
        <w:t>and/</w:t>
      </w:r>
      <w:r w:rsidR="007371E0">
        <w:t>or posted to an industry association website</w:t>
      </w:r>
      <w:r w:rsidR="007377E2">
        <w:t>.</w:t>
      </w:r>
    </w:p>
    <w:p w14:paraId="23ABB95E" w14:textId="5F28345D" w:rsidR="0063715B" w:rsidRDefault="0060611D" w:rsidP="006256DB">
      <w:pPr>
        <w:numPr>
          <w:ilvl w:val="0"/>
          <w:numId w:val="18"/>
        </w:numPr>
        <w:spacing w:after="0" w:line="240" w:lineRule="auto"/>
        <w:ind w:left="1080"/>
        <w:jc w:val="both"/>
      </w:pPr>
      <w:r>
        <w:t>Includes and effective date for when the policy was</w:t>
      </w:r>
      <w:r w:rsidR="0063715B">
        <w:t xml:space="preserve"> </w:t>
      </w:r>
      <w:r w:rsidR="0063715B" w:rsidRPr="00716F58">
        <w:t>established</w:t>
      </w:r>
      <w:r w:rsidR="0063715B">
        <w:t xml:space="preserve"> and/or adopted</w:t>
      </w:r>
      <w:r w:rsidR="00FB2687">
        <w:t>.</w:t>
      </w:r>
    </w:p>
    <w:p w14:paraId="4ADF2146" w14:textId="77777777" w:rsidR="00300BDC" w:rsidRPr="00A505B9" w:rsidRDefault="00300BDC" w:rsidP="00C21A33">
      <w:pPr>
        <w:spacing w:after="0" w:line="240" w:lineRule="auto"/>
        <w:jc w:val="both"/>
      </w:pPr>
    </w:p>
    <w:p w14:paraId="55666403" w14:textId="12E2BB43" w:rsidR="002F574C" w:rsidRDefault="00136514" w:rsidP="00FC0E34">
      <w:pPr>
        <w:pStyle w:val="Heading4"/>
        <w:ind w:left="0"/>
        <w:jc w:val="both"/>
      </w:pPr>
      <w:r>
        <w:t>Management Structure</w:t>
      </w:r>
    </w:p>
    <w:p w14:paraId="3906CC00" w14:textId="77777777" w:rsidR="00A505B9" w:rsidRDefault="00A505B9" w:rsidP="00C21A33">
      <w:pPr>
        <w:spacing w:after="0" w:line="240" w:lineRule="auto"/>
        <w:jc w:val="both"/>
      </w:pPr>
    </w:p>
    <w:p w14:paraId="53202BE2" w14:textId="48C7E84B" w:rsidR="00A505B9" w:rsidRDefault="00192B08" w:rsidP="00C21A33">
      <w:pPr>
        <w:spacing w:after="0" w:line="240" w:lineRule="auto"/>
        <w:jc w:val="both"/>
      </w:pPr>
      <w:r>
        <w:t>The s</w:t>
      </w:r>
      <w:r w:rsidR="00A505B9">
        <w:t xml:space="preserve">melter </w:t>
      </w:r>
      <w:r w:rsidR="00B95874">
        <w:t xml:space="preserve">shall </w:t>
      </w:r>
      <w:r w:rsidR="009F4D63">
        <w:t>implement the</w:t>
      </w:r>
      <w:r w:rsidR="00A505B9">
        <w:t xml:space="preserve"> conflict minerals management proc</w:t>
      </w:r>
      <w:r w:rsidR="00716C45">
        <w:t xml:space="preserve">ess within its own operation(s), including: </w:t>
      </w:r>
    </w:p>
    <w:p w14:paraId="6551408F" w14:textId="77777777" w:rsidR="00716C45" w:rsidRDefault="00716C45" w:rsidP="00C21A33">
      <w:pPr>
        <w:spacing w:after="0" w:line="240" w:lineRule="auto"/>
        <w:ind w:left="274"/>
        <w:jc w:val="both"/>
      </w:pPr>
    </w:p>
    <w:p w14:paraId="144069AD" w14:textId="37D10680" w:rsidR="00A505B9" w:rsidRDefault="00734098" w:rsidP="006256DB">
      <w:pPr>
        <w:numPr>
          <w:ilvl w:val="0"/>
          <w:numId w:val="19"/>
        </w:numPr>
        <w:spacing w:after="0" w:line="240" w:lineRule="auto"/>
        <w:ind w:left="1080"/>
        <w:jc w:val="both"/>
      </w:pPr>
      <w:r>
        <w:t>Ide</w:t>
      </w:r>
      <w:r w:rsidR="009F4D63">
        <w:t>ntifying</w:t>
      </w:r>
      <w:r>
        <w:t xml:space="preserve"> a</w:t>
      </w:r>
      <w:r w:rsidR="005D3EF5" w:rsidRPr="00F12980">
        <w:t xml:space="preserve"> senior manag</w:t>
      </w:r>
      <w:r w:rsidR="009F4D63">
        <w:t>ement person responsible for</w:t>
      </w:r>
      <w:r w:rsidR="005D3EF5" w:rsidRPr="00F12980">
        <w:t xml:space="preserve"> implementation of the due diligence management process</w:t>
      </w:r>
      <w:r w:rsidR="00A55261">
        <w:t>; report</w:t>
      </w:r>
      <w:r w:rsidR="009F4D63">
        <w:t>ing</w:t>
      </w:r>
      <w:r w:rsidR="00A55261">
        <w:t xml:space="preserve"> </w:t>
      </w:r>
      <w:r w:rsidR="005D3EF5" w:rsidRPr="00F12980">
        <w:t>findings on</w:t>
      </w:r>
      <w:r w:rsidR="00B0064B">
        <w:t xml:space="preserve"> </w:t>
      </w:r>
      <w:r w:rsidR="005D3EF5" w:rsidRPr="00F12980">
        <w:t>actual and/or potential risks identified in the supply chain to the senior management person.</w:t>
      </w:r>
      <w:r w:rsidR="005D3EF5" w:rsidRPr="00A0288B" w:rsidDel="005D3EF5">
        <w:t xml:space="preserve"> </w:t>
      </w:r>
    </w:p>
    <w:p w14:paraId="79269832" w14:textId="77777777" w:rsidR="00716C45" w:rsidRDefault="00716C45" w:rsidP="00FC0E34">
      <w:pPr>
        <w:spacing w:after="0" w:line="240" w:lineRule="auto"/>
        <w:ind w:left="1080"/>
        <w:jc w:val="both"/>
      </w:pPr>
    </w:p>
    <w:p w14:paraId="69F9910E" w14:textId="0D19F353" w:rsidR="009833F8" w:rsidRDefault="00A55261" w:rsidP="006256DB">
      <w:pPr>
        <w:numPr>
          <w:ilvl w:val="0"/>
          <w:numId w:val="19"/>
        </w:numPr>
        <w:spacing w:after="0" w:line="240" w:lineRule="auto"/>
        <w:ind w:left="1080"/>
        <w:jc w:val="both"/>
      </w:pPr>
      <w:r>
        <w:lastRenderedPageBreak/>
        <w:t>P</w:t>
      </w:r>
      <w:r w:rsidR="009F4D63">
        <w:t>roviding</w:t>
      </w:r>
      <w:r>
        <w:t xml:space="preserve"> </w:t>
      </w:r>
      <w:r w:rsidRPr="00A0288B">
        <w:t>regular</w:t>
      </w:r>
      <w:r>
        <w:t xml:space="preserve"> training (at least on annual basis) to r</w:t>
      </w:r>
      <w:r w:rsidR="00A505B9" w:rsidRPr="00A0288B">
        <w:t>elevant employees</w:t>
      </w:r>
      <w:r>
        <w:t xml:space="preserve"> </w:t>
      </w:r>
      <w:r w:rsidR="00FF1C66">
        <w:t>covering critical information on the due diligence management process</w:t>
      </w:r>
      <w:r>
        <w:t>;</w:t>
      </w:r>
      <w:r w:rsidR="00A505B9" w:rsidRPr="00A0288B">
        <w:t xml:space="preserve"> </w:t>
      </w:r>
      <w:r>
        <w:t>maintain</w:t>
      </w:r>
      <w:r w:rsidR="009F4D63">
        <w:t>ing</w:t>
      </w:r>
      <w:r w:rsidR="00A505B9" w:rsidRPr="00A0288B">
        <w:t xml:space="preserve"> training re</w:t>
      </w:r>
      <w:r w:rsidR="00A505B9">
        <w:t xml:space="preserve">cords </w:t>
      </w:r>
      <w:r>
        <w:t>with</w:t>
      </w:r>
      <w:r w:rsidR="00A505B9">
        <w:t>in company records.</w:t>
      </w:r>
    </w:p>
    <w:p w14:paraId="58A9A5BB" w14:textId="77777777" w:rsidR="00716C45" w:rsidRDefault="00716C45" w:rsidP="00C21A33">
      <w:pPr>
        <w:spacing w:after="0" w:line="240" w:lineRule="auto"/>
        <w:ind w:left="634"/>
        <w:jc w:val="both"/>
      </w:pPr>
    </w:p>
    <w:p w14:paraId="30897394" w14:textId="77777777" w:rsidR="006F6828" w:rsidRDefault="006F6828" w:rsidP="00FC0E34">
      <w:pPr>
        <w:pStyle w:val="Heading4"/>
        <w:ind w:left="0"/>
        <w:jc w:val="both"/>
      </w:pPr>
      <w:r>
        <w:t>Supplier Engagement</w:t>
      </w:r>
    </w:p>
    <w:p w14:paraId="2423D20E" w14:textId="77777777" w:rsidR="006F6828" w:rsidRDefault="006F6828" w:rsidP="00C21A33">
      <w:pPr>
        <w:spacing w:after="0" w:line="240" w:lineRule="auto"/>
        <w:jc w:val="both"/>
      </w:pPr>
    </w:p>
    <w:p w14:paraId="0D3E1C09" w14:textId="5DC0E969" w:rsidR="006F6828" w:rsidRDefault="00192B08" w:rsidP="00B03D5B">
      <w:pPr>
        <w:spacing w:after="0" w:line="240" w:lineRule="auto"/>
        <w:jc w:val="both"/>
      </w:pPr>
      <w:r>
        <w:t>The s</w:t>
      </w:r>
      <w:r w:rsidR="001906E2">
        <w:t>melter will communicate the e</w:t>
      </w:r>
      <w:r w:rsidR="006F6828" w:rsidRPr="00550937">
        <w:t>xpectation</w:t>
      </w:r>
      <w:r w:rsidR="001906E2">
        <w:t>s</w:t>
      </w:r>
      <w:r w:rsidR="006F6828" w:rsidRPr="00550937">
        <w:t xml:space="preserve"> on responsible supply chains, including the Conflict Minerals Policy, to supplier(s) providing relevant materials th</w:t>
      </w:r>
      <w:r w:rsidR="00B03D5B">
        <w:t xml:space="preserve">at contain tin or tantalum. </w:t>
      </w:r>
      <w:r w:rsidR="006F6828" w:rsidRPr="00550937">
        <w:t xml:space="preserve">Adherence to the Conflict Minerals Policy and due diligence process shall be required as part of written agreements </w:t>
      </w:r>
      <w:r>
        <w:t>and/</w:t>
      </w:r>
      <w:r w:rsidR="006F6828" w:rsidRPr="00550937">
        <w:t>or contracts with suppliers that can be applied and monitored.</w:t>
      </w:r>
    </w:p>
    <w:p w14:paraId="234F72E4" w14:textId="77777777" w:rsidR="00491BAE" w:rsidRDefault="00491BAE" w:rsidP="00B03D5B">
      <w:pPr>
        <w:pStyle w:val="ListParagraph"/>
        <w:spacing w:after="0"/>
        <w:jc w:val="both"/>
      </w:pPr>
    </w:p>
    <w:p w14:paraId="4B1ACB69" w14:textId="3BB2026B" w:rsidR="000314F2" w:rsidRDefault="00905D3C" w:rsidP="00B03D5B">
      <w:pPr>
        <w:pStyle w:val="Heading4"/>
        <w:spacing w:before="0"/>
        <w:ind w:left="0"/>
        <w:jc w:val="both"/>
      </w:pPr>
      <w:r>
        <w:t xml:space="preserve">Systems of Controls and Transparency </w:t>
      </w:r>
      <w:r w:rsidR="00D352DE">
        <w:t>o</w:t>
      </w:r>
      <w:r>
        <w:t>ver the Supply C</w:t>
      </w:r>
      <w:r w:rsidR="000314F2">
        <w:t>hain</w:t>
      </w:r>
      <w:r w:rsidR="00792F0A">
        <w:t xml:space="preserve"> </w:t>
      </w:r>
    </w:p>
    <w:p w14:paraId="4F31748A" w14:textId="77777777" w:rsidR="000314F2" w:rsidRDefault="000314F2" w:rsidP="00B03D5B">
      <w:pPr>
        <w:spacing w:after="0" w:line="240" w:lineRule="auto"/>
        <w:jc w:val="both"/>
      </w:pPr>
    </w:p>
    <w:p w14:paraId="19630C17" w14:textId="6C828F76" w:rsidR="00DC21DA" w:rsidRDefault="000314F2" w:rsidP="00B03D5B">
      <w:pPr>
        <w:spacing w:after="0" w:line="240" w:lineRule="auto"/>
        <w:jc w:val="both"/>
      </w:pPr>
      <w:r w:rsidRPr="00F12980">
        <w:t xml:space="preserve">The </w:t>
      </w:r>
      <w:r>
        <w:t>smelter</w:t>
      </w:r>
      <w:r w:rsidRPr="00F12980">
        <w:t xml:space="preserve"> will establish a system of controls and transparency over the mineral supply chain. </w:t>
      </w:r>
      <w:r w:rsidR="00DC21DA">
        <w:t>The system of contr</w:t>
      </w:r>
      <w:r w:rsidR="00C6526E">
        <w:t>ols shall include</w:t>
      </w:r>
      <w:r w:rsidR="00A56828">
        <w:t>, at a minimum,</w:t>
      </w:r>
      <w:r w:rsidR="00C6526E">
        <w:t xml:space="preserve"> the following elements:</w:t>
      </w:r>
    </w:p>
    <w:p w14:paraId="71DB8FDC" w14:textId="77777777" w:rsidR="00C6526E" w:rsidRDefault="00C6526E" w:rsidP="00B03D5B">
      <w:pPr>
        <w:spacing w:after="0" w:line="240" w:lineRule="auto"/>
        <w:jc w:val="both"/>
      </w:pPr>
    </w:p>
    <w:p w14:paraId="462522BE" w14:textId="77777777" w:rsidR="00B0064B" w:rsidRDefault="00C62E01" w:rsidP="006256DB">
      <w:pPr>
        <w:pStyle w:val="ListParagraph"/>
        <w:numPr>
          <w:ilvl w:val="0"/>
          <w:numId w:val="39"/>
        </w:numPr>
        <w:spacing w:after="0" w:line="240" w:lineRule="auto"/>
        <w:ind w:left="1080"/>
        <w:jc w:val="both"/>
      </w:pPr>
      <w:r>
        <w:t>A formal or informal record management system that ensures t</w:t>
      </w:r>
      <w:r w:rsidRPr="00F12980">
        <w:t xml:space="preserve">he availability of evidence </w:t>
      </w:r>
      <w:r>
        <w:t xml:space="preserve">for this audit. </w:t>
      </w:r>
    </w:p>
    <w:p w14:paraId="328C6870" w14:textId="19B2A1ED" w:rsidR="00C62E01" w:rsidRDefault="00C62E01" w:rsidP="006256DB">
      <w:pPr>
        <w:pStyle w:val="ListParagraph"/>
        <w:numPr>
          <w:ilvl w:val="0"/>
          <w:numId w:val="39"/>
        </w:numPr>
        <w:spacing w:after="0" w:line="240" w:lineRule="auto"/>
        <w:ind w:left="1080"/>
        <w:jc w:val="both"/>
      </w:pPr>
      <w:r>
        <w:t>R</w:t>
      </w:r>
      <w:r w:rsidRPr="00550937">
        <w:t>ecords generated by the due diligence management process shall be maintained for a minimum of five (5) years.</w:t>
      </w:r>
    </w:p>
    <w:p w14:paraId="2B8FA4A9" w14:textId="1BFA7C86" w:rsidR="00A56828" w:rsidRDefault="00C6526E" w:rsidP="006256DB">
      <w:pPr>
        <w:pStyle w:val="ListParagraph"/>
        <w:numPr>
          <w:ilvl w:val="0"/>
          <w:numId w:val="39"/>
        </w:numPr>
        <w:spacing w:after="0" w:line="240" w:lineRule="auto"/>
        <w:ind w:left="1080"/>
        <w:jc w:val="both"/>
      </w:pPr>
      <w:r>
        <w:t>A</w:t>
      </w:r>
      <w:r w:rsidR="004C4412">
        <w:t>n effective, consistently implemented and documented</w:t>
      </w:r>
      <w:r w:rsidR="00EB1CEE">
        <w:t xml:space="preserve"> process </w:t>
      </w:r>
      <w:r w:rsidR="00EB1CEE" w:rsidRPr="00F12980">
        <w:t>to</w:t>
      </w:r>
      <w:r w:rsidR="00A56828">
        <w:t>:</w:t>
      </w:r>
    </w:p>
    <w:p w14:paraId="1981C5AD" w14:textId="093E5A20" w:rsidR="00B8245C" w:rsidRDefault="00B8245C" w:rsidP="006256DB">
      <w:pPr>
        <w:pStyle w:val="ListParagraph"/>
        <w:numPr>
          <w:ilvl w:val="1"/>
          <w:numId w:val="39"/>
        </w:numPr>
        <w:spacing w:after="0" w:line="240" w:lineRule="auto"/>
        <w:jc w:val="both"/>
      </w:pPr>
      <w:r>
        <w:t>Purchase tin or tantalum material</w:t>
      </w:r>
      <w:r w:rsidR="00062E56">
        <w:t>,</w:t>
      </w:r>
      <w:r>
        <w:t xml:space="preserve"> which specifies due diligence requirements as defined in this audit protocol, the smelter’s policy,</w:t>
      </w:r>
      <w:r w:rsidRPr="00C90EEF">
        <w:t xml:space="preserve"> responsible sourcing mechanisms</w:t>
      </w:r>
      <w:r w:rsidR="00062E56">
        <w:t>,</w:t>
      </w:r>
      <w:r w:rsidRPr="00C90EEF">
        <w:t xml:space="preserve"> and the OECD Due Diligence Guidance, as necessary</w:t>
      </w:r>
      <w:r>
        <w:t>.</w:t>
      </w:r>
    </w:p>
    <w:p w14:paraId="4AF0FEC2" w14:textId="5E461362" w:rsidR="00C6526E" w:rsidRDefault="00A56828" w:rsidP="006256DB">
      <w:pPr>
        <w:pStyle w:val="ListParagraph"/>
        <w:numPr>
          <w:ilvl w:val="1"/>
          <w:numId w:val="39"/>
        </w:numPr>
        <w:spacing w:after="0" w:line="240" w:lineRule="auto"/>
        <w:jc w:val="both"/>
      </w:pPr>
      <w:r>
        <w:t>D</w:t>
      </w:r>
      <w:r w:rsidR="00EB1CEE">
        <w:t xml:space="preserve">etermine the origin and chain of custody of relevant raw </w:t>
      </w:r>
      <w:r w:rsidR="00EB1CEE" w:rsidRPr="00F12980">
        <w:t>material</w:t>
      </w:r>
      <w:r w:rsidR="00EB1CEE">
        <w:t>(s)</w:t>
      </w:r>
      <w:r w:rsidR="00EB1CEE" w:rsidRPr="00F12980">
        <w:t xml:space="preserve"> received by means of chain of custody or traceability information</w:t>
      </w:r>
      <w:r w:rsidR="00C6526E">
        <w:t>.</w:t>
      </w:r>
    </w:p>
    <w:p w14:paraId="7A6FCD06" w14:textId="3515C35E" w:rsidR="00C6526E" w:rsidRDefault="00A56828" w:rsidP="006256DB">
      <w:pPr>
        <w:pStyle w:val="ListParagraph"/>
        <w:numPr>
          <w:ilvl w:val="1"/>
          <w:numId w:val="39"/>
        </w:numPr>
        <w:spacing w:after="0" w:line="240" w:lineRule="auto"/>
        <w:jc w:val="both"/>
      </w:pPr>
      <w:r>
        <w:t xml:space="preserve">Review the </w:t>
      </w:r>
      <w:r w:rsidR="00C6526E">
        <w:t>origin and chain of custody</w:t>
      </w:r>
      <w:r w:rsidR="00F72F10">
        <w:t xml:space="preserve"> or traceability</w:t>
      </w:r>
      <w:r w:rsidR="00C6526E">
        <w:t xml:space="preserve"> information with the goal to identify supply-chain risk(s) consistent with this audit protocol and the company’s policy.</w:t>
      </w:r>
    </w:p>
    <w:p w14:paraId="151A347E" w14:textId="1114C2D3" w:rsidR="00E76A9C" w:rsidRPr="00E76A9C" w:rsidRDefault="00E76A9C" w:rsidP="006256DB">
      <w:pPr>
        <w:pStyle w:val="ListParagraph"/>
        <w:numPr>
          <w:ilvl w:val="1"/>
          <w:numId w:val="39"/>
        </w:numPr>
        <w:spacing w:after="0" w:line="240" w:lineRule="auto"/>
        <w:jc w:val="both"/>
        <w:rPr>
          <w:rFonts w:cs="Calibri"/>
        </w:rPr>
      </w:pPr>
      <w:r>
        <w:rPr>
          <w:rFonts w:cs="Calibri"/>
        </w:rPr>
        <w:t>I</w:t>
      </w:r>
      <w:r w:rsidRPr="00E76A9C">
        <w:rPr>
          <w:rFonts w:cs="Calibri"/>
        </w:rPr>
        <w:t>dentify and act upon inconsistencies in regards to transactions received so as to verify that risk</w:t>
      </w:r>
      <w:r>
        <w:rPr>
          <w:rFonts w:cs="Calibri"/>
        </w:rPr>
        <w:t>(</w:t>
      </w:r>
      <w:r w:rsidRPr="00E76A9C">
        <w:rPr>
          <w:rFonts w:cs="Calibri"/>
        </w:rPr>
        <w:t>s</w:t>
      </w:r>
      <w:r>
        <w:rPr>
          <w:rFonts w:cs="Calibri"/>
        </w:rPr>
        <w:t>)</w:t>
      </w:r>
      <w:r w:rsidRPr="00E76A9C">
        <w:rPr>
          <w:rFonts w:cs="Calibri"/>
        </w:rPr>
        <w:t xml:space="preserve"> are appropriately captured. The process shall </w:t>
      </w:r>
      <w:r w:rsidR="0070255A">
        <w:rPr>
          <w:rFonts w:cs="Calibri"/>
        </w:rPr>
        <w:t xml:space="preserve">provide </w:t>
      </w:r>
      <w:r w:rsidRPr="00E76A9C">
        <w:rPr>
          <w:rFonts w:cs="Calibri"/>
        </w:rPr>
        <w:t xml:space="preserve">that no further action is taken and the material concerned is stored separately until the inconsistency is resolved. </w:t>
      </w:r>
    </w:p>
    <w:p w14:paraId="233211BE" w14:textId="6116FEB9" w:rsidR="00C6526E" w:rsidRDefault="00A56828" w:rsidP="006256DB">
      <w:pPr>
        <w:pStyle w:val="ListParagraph"/>
        <w:numPr>
          <w:ilvl w:val="1"/>
          <w:numId w:val="39"/>
        </w:numPr>
        <w:spacing w:after="0" w:line="240" w:lineRule="auto"/>
        <w:jc w:val="both"/>
      </w:pPr>
      <w:r>
        <w:t>C</w:t>
      </w:r>
      <w:r w:rsidR="00C6526E">
        <w:t>ommunicate, monitor and mitigate risk(s) consistent with the company’s policy.</w:t>
      </w:r>
    </w:p>
    <w:p w14:paraId="7CF1AC3F" w14:textId="77777777" w:rsidR="00B03D5B" w:rsidRDefault="00B03D5B" w:rsidP="00B03D5B">
      <w:pPr>
        <w:spacing w:after="0"/>
        <w:jc w:val="both"/>
      </w:pPr>
    </w:p>
    <w:p w14:paraId="4C123ED8" w14:textId="0BE62E88" w:rsidR="00A3042C" w:rsidRDefault="00C62E01" w:rsidP="00B03D5B">
      <w:pPr>
        <w:spacing w:after="0"/>
        <w:jc w:val="both"/>
      </w:pPr>
      <w:r>
        <w:t>To implement the process above, the smelter shall carry out the following steps:</w:t>
      </w:r>
    </w:p>
    <w:p w14:paraId="4C33F505" w14:textId="77777777" w:rsidR="004F196B" w:rsidRPr="00677261" w:rsidRDefault="004F196B" w:rsidP="00B03D5B">
      <w:pPr>
        <w:spacing w:after="0" w:line="240" w:lineRule="auto"/>
        <w:jc w:val="both"/>
        <w:rPr>
          <w:b/>
        </w:rPr>
      </w:pPr>
    </w:p>
    <w:p w14:paraId="6D1AA6CD" w14:textId="6482CA67" w:rsidR="004F196B" w:rsidRDefault="00C62E01" w:rsidP="00905D3C">
      <w:pPr>
        <w:spacing w:after="0"/>
        <w:ind w:left="720"/>
        <w:jc w:val="both"/>
        <w:rPr>
          <w:b/>
        </w:rPr>
      </w:pPr>
      <w:r>
        <w:rPr>
          <w:b/>
        </w:rPr>
        <w:t>Step 1: Applicability of Origin Determination</w:t>
      </w:r>
    </w:p>
    <w:p w14:paraId="2B81004F" w14:textId="5DB62733" w:rsidR="00C62E01" w:rsidRPr="00374F8F" w:rsidRDefault="00C62E01" w:rsidP="00905D3C">
      <w:pPr>
        <w:spacing w:after="0" w:line="240" w:lineRule="auto"/>
        <w:ind w:left="720"/>
        <w:jc w:val="both"/>
      </w:pPr>
      <w:r>
        <w:t xml:space="preserve">To determine if a given transaction requires a full origin determination, the smelter shall follow the process flow in Figure 1 below. For each transaction of mined material, the source must be identified as being from Large Scale Mining (LSM) or Artisanal and Small Scale Mining (ASM).  </w:t>
      </w:r>
    </w:p>
    <w:p w14:paraId="4C35319B" w14:textId="1DE28B28" w:rsidR="00C62E01" w:rsidRDefault="00C62E01" w:rsidP="00C21A33">
      <w:pPr>
        <w:jc w:val="both"/>
        <w:rPr>
          <w:b/>
          <w:bCs/>
          <w:smallCaps/>
          <w:color w:val="595959" w:themeColor="text1" w:themeTint="A6"/>
        </w:rPr>
      </w:pPr>
    </w:p>
    <w:p w14:paraId="1A034DC6" w14:textId="77777777" w:rsidR="00905D3C" w:rsidRDefault="00905D3C" w:rsidP="00C21A33">
      <w:pPr>
        <w:jc w:val="both"/>
        <w:rPr>
          <w:b/>
          <w:bCs/>
          <w:smallCaps/>
          <w:color w:val="595959" w:themeColor="text1" w:themeTint="A6"/>
        </w:rPr>
      </w:pPr>
    </w:p>
    <w:p w14:paraId="0BCB5A5B" w14:textId="77777777" w:rsidR="00905D3C" w:rsidRDefault="00905D3C" w:rsidP="00C21A33">
      <w:pPr>
        <w:jc w:val="both"/>
        <w:rPr>
          <w:b/>
          <w:bCs/>
          <w:smallCaps/>
          <w:color w:val="595959" w:themeColor="text1" w:themeTint="A6"/>
        </w:rPr>
      </w:pPr>
    </w:p>
    <w:p w14:paraId="13561C18" w14:textId="77777777" w:rsidR="00905D3C" w:rsidRDefault="00905D3C" w:rsidP="00C21A33">
      <w:pPr>
        <w:jc w:val="both"/>
        <w:rPr>
          <w:b/>
          <w:bCs/>
          <w:smallCaps/>
          <w:color w:val="595959" w:themeColor="text1" w:themeTint="A6"/>
        </w:rPr>
      </w:pPr>
    </w:p>
    <w:p w14:paraId="69807FAF" w14:textId="77777777" w:rsidR="00905D3C" w:rsidRDefault="00905D3C" w:rsidP="00C21A33">
      <w:pPr>
        <w:jc w:val="both"/>
        <w:rPr>
          <w:b/>
          <w:bCs/>
          <w:smallCaps/>
          <w:color w:val="595959" w:themeColor="text1" w:themeTint="A6"/>
        </w:rPr>
      </w:pPr>
    </w:p>
    <w:p w14:paraId="0EF5A8F9" w14:textId="4CEE530F" w:rsidR="00C62E01" w:rsidRDefault="00C62E01" w:rsidP="00C21A33">
      <w:pPr>
        <w:pStyle w:val="Caption"/>
        <w:spacing w:after="0"/>
        <w:jc w:val="both"/>
      </w:pPr>
      <w:r>
        <w:t xml:space="preserve">Figure </w:t>
      </w:r>
      <w:fldSimple w:instr=" SEQ Figure \* ARABIC ">
        <w:r>
          <w:rPr>
            <w:noProof/>
          </w:rPr>
          <w:t>1</w:t>
        </w:r>
      </w:fldSimple>
      <w:r w:rsidR="00F72F10">
        <w:t>: Applicabil</w:t>
      </w:r>
      <w:r w:rsidR="004427F0">
        <w:t>i</w:t>
      </w:r>
      <w:r w:rsidR="00F72F10">
        <w:t>t</w:t>
      </w:r>
      <w:r>
        <w:t>y and determination of origin process flow</w:t>
      </w:r>
    </w:p>
    <w:p w14:paraId="1A9F3CBA" w14:textId="77777777" w:rsidR="004F196B" w:rsidRDefault="004F196B" w:rsidP="00C21A33">
      <w:pPr>
        <w:spacing w:after="0" w:line="240" w:lineRule="auto"/>
        <w:jc w:val="both"/>
      </w:pPr>
    </w:p>
    <w:p w14:paraId="69E97752" w14:textId="01AF5AE8" w:rsidR="004F196B" w:rsidRDefault="0032531B" w:rsidP="00C21A33">
      <w:pPr>
        <w:spacing w:after="0" w:line="240" w:lineRule="auto"/>
        <w:jc w:val="both"/>
      </w:pPr>
      <w:r>
        <w:rPr>
          <w:noProof/>
          <w:lang w:eastAsia="en-US"/>
        </w:rPr>
        <w:drawing>
          <wp:inline distT="0" distB="0" distL="0" distR="0" wp14:anchorId="6F037F76" wp14:editId="46FFEADD">
            <wp:extent cx="5943600" cy="4204249"/>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04249"/>
                    </a:xfrm>
                    <a:prstGeom prst="rect">
                      <a:avLst/>
                    </a:prstGeom>
                    <a:noFill/>
                    <a:ln>
                      <a:noFill/>
                    </a:ln>
                  </pic:spPr>
                </pic:pic>
              </a:graphicData>
            </a:graphic>
          </wp:inline>
        </w:drawing>
      </w:r>
    </w:p>
    <w:p w14:paraId="3C937721" w14:textId="77777777" w:rsidR="004F196B" w:rsidRDefault="004F196B" w:rsidP="00C21A33">
      <w:pPr>
        <w:spacing w:after="0" w:line="240" w:lineRule="auto"/>
        <w:jc w:val="both"/>
      </w:pPr>
    </w:p>
    <w:p w14:paraId="05E17CCE" w14:textId="0CF13C02" w:rsidR="004F196B" w:rsidRDefault="004F196B" w:rsidP="00905D3C">
      <w:pPr>
        <w:ind w:left="720"/>
        <w:jc w:val="both"/>
        <w:rPr>
          <w:b/>
        </w:rPr>
      </w:pPr>
      <w:r>
        <w:rPr>
          <w:b/>
        </w:rPr>
        <w:t>Step 2: Collection of Source and Transport Documentation</w:t>
      </w:r>
    </w:p>
    <w:p w14:paraId="4D76F888" w14:textId="75A4ED40" w:rsidR="004F196B" w:rsidRDefault="004F196B" w:rsidP="00905D3C">
      <w:pPr>
        <w:spacing w:after="0" w:line="240" w:lineRule="auto"/>
        <w:ind w:left="720"/>
        <w:jc w:val="both"/>
      </w:pPr>
      <w:r>
        <w:t xml:space="preserve">For each transaction, </w:t>
      </w:r>
      <w:r w:rsidR="00C62E01">
        <w:t xml:space="preserve">the smelter shall </w:t>
      </w:r>
      <w:r>
        <w:t xml:space="preserve">obtain, review and </w:t>
      </w:r>
      <w:r w:rsidRPr="00905D3C">
        <w:t xml:space="preserve">maintain on file the necessary </w:t>
      </w:r>
      <w:r w:rsidR="00892F90" w:rsidRPr="00905D3C">
        <w:t xml:space="preserve">origin and chain of custody or traceability </w:t>
      </w:r>
      <w:r w:rsidRPr="00905D3C">
        <w:t>documentation per the tables in Annex I for the appropriate risk level of the country of origin and the type of mining operations. Copies</w:t>
      </w:r>
      <w:r>
        <w:t xml:space="preserve"> of documents are acceptable.</w:t>
      </w:r>
    </w:p>
    <w:p w14:paraId="68294F0C" w14:textId="77777777" w:rsidR="004F196B" w:rsidRDefault="004F196B" w:rsidP="00C21A33">
      <w:pPr>
        <w:spacing w:after="0" w:line="240" w:lineRule="auto"/>
        <w:jc w:val="both"/>
      </w:pPr>
    </w:p>
    <w:p w14:paraId="1A947DB5" w14:textId="77777777" w:rsidR="004F196B" w:rsidRDefault="004F196B" w:rsidP="00C21A33">
      <w:pPr>
        <w:spacing w:after="0" w:line="240" w:lineRule="auto"/>
        <w:jc w:val="both"/>
      </w:pPr>
    </w:p>
    <w:p w14:paraId="0688BF43" w14:textId="0708D610" w:rsidR="004F196B" w:rsidRDefault="004F196B" w:rsidP="00905D3C">
      <w:pPr>
        <w:spacing w:after="0" w:line="240" w:lineRule="auto"/>
        <w:ind w:left="720"/>
        <w:jc w:val="both"/>
        <w:rPr>
          <w:b/>
        </w:rPr>
      </w:pPr>
      <w:r>
        <w:rPr>
          <w:b/>
        </w:rPr>
        <w:t xml:space="preserve">Step 3: </w:t>
      </w:r>
      <w:r w:rsidR="00C62E01">
        <w:rPr>
          <w:b/>
        </w:rPr>
        <w:t xml:space="preserve">Review of Documentation and </w:t>
      </w:r>
      <w:r>
        <w:rPr>
          <w:b/>
        </w:rPr>
        <w:t>Monitoring of Transactions</w:t>
      </w:r>
    </w:p>
    <w:p w14:paraId="1E7279C0" w14:textId="7784DA83" w:rsidR="00BD6054" w:rsidRDefault="00E76A9C" w:rsidP="00905D3C">
      <w:pPr>
        <w:widowControl w:val="0"/>
        <w:autoSpaceDE w:val="0"/>
        <w:autoSpaceDN w:val="0"/>
        <w:adjustRightInd w:val="0"/>
        <w:spacing w:after="0" w:line="240" w:lineRule="auto"/>
        <w:ind w:left="720"/>
        <w:jc w:val="both"/>
        <w:rPr>
          <w:rFonts w:cs="Calibri"/>
        </w:rPr>
      </w:pPr>
      <w:r w:rsidRPr="00F12980">
        <w:rPr>
          <w:rFonts w:cs="Calibri"/>
        </w:rPr>
        <w:t xml:space="preserve">The </w:t>
      </w:r>
      <w:r>
        <w:rPr>
          <w:rFonts w:cs="Calibri"/>
        </w:rPr>
        <w:t>smelter shall</w:t>
      </w:r>
      <w:r w:rsidRPr="00F12980">
        <w:rPr>
          <w:rFonts w:cs="Calibri"/>
        </w:rPr>
        <w:t xml:space="preserve"> </w:t>
      </w:r>
      <w:r w:rsidR="00905D3C">
        <w:rPr>
          <w:rFonts w:cs="Calibri"/>
        </w:rPr>
        <w:t xml:space="preserve">review and monitor </w:t>
      </w:r>
      <w:r w:rsidRPr="00F12980">
        <w:rPr>
          <w:rFonts w:cs="Calibri"/>
        </w:rPr>
        <w:t xml:space="preserve">transactions </w:t>
      </w:r>
      <w:r>
        <w:rPr>
          <w:rFonts w:cs="Calibri"/>
        </w:rPr>
        <w:t xml:space="preserve">in accordance with the type of material and risk associated with each source of material </w:t>
      </w:r>
      <w:r w:rsidR="00BD6054">
        <w:rPr>
          <w:rFonts w:cs="Calibri"/>
        </w:rPr>
        <w:t>prior to</w:t>
      </w:r>
      <w:r w:rsidR="00905D3C">
        <w:rPr>
          <w:rFonts w:cs="Calibri"/>
        </w:rPr>
        <w:t xml:space="preserve"> accepting any material</w:t>
      </w:r>
      <w:r>
        <w:rPr>
          <w:rFonts w:cs="Calibri"/>
        </w:rPr>
        <w:t xml:space="preserve">. </w:t>
      </w:r>
    </w:p>
    <w:p w14:paraId="538ED607" w14:textId="77777777" w:rsidR="00BD6054" w:rsidRDefault="00BD6054" w:rsidP="00905D3C">
      <w:pPr>
        <w:widowControl w:val="0"/>
        <w:autoSpaceDE w:val="0"/>
        <w:autoSpaceDN w:val="0"/>
        <w:adjustRightInd w:val="0"/>
        <w:spacing w:after="0" w:line="240" w:lineRule="auto"/>
        <w:ind w:left="720"/>
        <w:jc w:val="both"/>
        <w:rPr>
          <w:rFonts w:cs="Calibri"/>
        </w:rPr>
      </w:pPr>
    </w:p>
    <w:p w14:paraId="52506E46" w14:textId="3CB439F6" w:rsidR="00B24648" w:rsidRDefault="001906E2" w:rsidP="00905D3C">
      <w:pPr>
        <w:widowControl w:val="0"/>
        <w:autoSpaceDE w:val="0"/>
        <w:autoSpaceDN w:val="0"/>
        <w:adjustRightInd w:val="0"/>
        <w:spacing w:after="0" w:line="240" w:lineRule="auto"/>
        <w:ind w:left="720"/>
        <w:jc w:val="both"/>
      </w:pPr>
      <w:r>
        <w:t>U</w:t>
      </w:r>
      <w:r w:rsidRPr="00F12980">
        <w:t>tilizing</w:t>
      </w:r>
      <w:r w:rsidR="004F196B" w:rsidRPr="00F12980">
        <w:t xml:space="preserve"> the </w:t>
      </w:r>
      <w:r w:rsidR="00E76A9C">
        <w:t xml:space="preserve">origin and chain of custody or traceability </w:t>
      </w:r>
      <w:r w:rsidR="004F196B" w:rsidRPr="00F12980">
        <w:t xml:space="preserve">documentation collected, </w:t>
      </w:r>
      <w:r w:rsidR="00C62E01">
        <w:t xml:space="preserve">the smelter shall </w:t>
      </w:r>
      <w:r w:rsidR="004F196B" w:rsidRPr="00F12980">
        <w:t xml:space="preserve">validate links between key documents and lot number, weight, </w:t>
      </w:r>
      <w:r w:rsidR="004F196B">
        <w:t>smelter</w:t>
      </w:r>
      <w:r w:rsidR="004F196B" w:rsidRPr="00F12980">
        <w:t xml:space="preserve"> and/or </w:t>
      </w:r>
      <w:r w:rsidR="004F196B">
        <w:t>supplier</w:t>
      </w:r>
      <w:r w:rsidR="004F196B" w:rsidRPr="00F12980">
        <w:t xml:space="preserve"> as</w:t>
      </w:r>
      <w:r w:rsidR="004F196B">
        <w:t>says and smelter receipts for</w:t>
      </w:r>
      <w:r w:rsidR="004F196B" w:rsidRPr="00F12980">
        <w:t xml:space="preserve"> transactions. </w:t>
      </w:r>
      <w:r w:rsidR="00C157B3" w:rsidRPr="00F12980">
        <w:rPr>
          <w:rFonts w:cs="Calibri"/>
        </w:rPr>
        <w:t xml:space="preserve">The </w:t>
      </w:r>
      <w:r w:rsidR="00C157B3">
        <w:rPr>
          <w:rFonts w:cs="Calibri"/>
        </w:rPr>
        <w:t>smelter</w:t>
      </w:r>
      <w:r w:rsidR="00C157B3" w:rsidRPr="00F12980">
        <w:rPr>
          <w:rFonts w:cs="Calibri"/>
        </w:rPr>
        <w:t xml:space="preserve"> shall preliminarily inspect all transactions for conformity with information available on the type of </w:t>
      </w:r>
      <w:r w:rsidR="00C157B3">
        <w:rPr>
          <w:rFonts w:cs="Calibri"/>
        </w:rPr>
        <w:t>material</w:t>
      </w:r>
      <w:r w:rsidR="00C157B3" w:rsidRPr="00F12980">
        <w:rPr>
          <w:rFonts w:cs="Calibri"/>
        </w:rPr>
        <w:t>, weight and quality of the material.</w:t>
      </w:r>
      <w:r w:rsidR="00BD6054">
        <w:t xml:space="preserve"> </w:t>
      </w:r>
    </w:p>
    <w:p w14:paraId="6CBA42D1" w14:textId="6A182A96" w:rsidR="004F196B" w:rsidRDefault="004F196B" w:rsidP="00905D3C">
      <w:pPr>
        <w:widowControl w:val="0"/>
        <w:autoSpaceDE w:val="0"/>
        <w:autoSpaceDN w:val="0"/>
        <w:adjustRightInd w:val="0"/>
        <w:spacing w:after="0" w:line="240" w:lineRule="auto"/>
        <w:ind w:left="720"/>
        <w:jc w:val="both"/>
      </w:pPr>
    </w:p>
    <w:p w14:paraId="642019BC" w14:textId="5A7EE709" w:rsidR="004F196B" w:rsidRDefault="00E76A9C" w:rsidP="00905D3C">
      <w:pPr>
        <w:widowControl w:val="0"/>
        <w:autoSpaceDE w:val="0"/>
        <w:autoSpaceDN w:val="0"/>
        <w:adjustRightInd w:val="0"/>
        <w:spacing w:after="0" w:line="240" w:lineRule="auto"/>
        <w:ind w:left="720"/>
        <w:jc w:val="both"/>
      </w:pPr>
      <w:r>
        <w:lastRenderedPageBreak/>
        <w:t>The smelter shall i</w:t>
      </w:r>
      <w:r w:rsidR="004F196B">
        <w:t>nvestigate any discrepancies noted during the review and follow up with relevant supply chain actors to address those</w:t>
      </w:r>
      <w:r w:rsidR="00905D3C">
        <w:t xml:space="preserve"> discrepancies</w:t>
      </w:r>
      <w:r w:rsidR="004F196B" w:rsidRPr="00F12980">
        <w:t>.</w:t>
      </w:r>
      <w:r w:rsidR="00C157B3">
        <w:t xml:space="preserve"> </w:t>
      </w:r>
      <w:r w:rsidR="00905D3C">
        <w:t>The smelter shall document such investigations/findings</w:t>
      </w:r>
      <w:r w:rsidR="00C157B3">
        <w:t>.</w:t>
      </w:r>
    </w:p>
    <w:p w14:paraId="1E32C4CB" w14:textId="77777777" w:rsidR="004F196B" w:rsidRDefault="004F196B" w:rsidP="00905D3C">
      <w:pPr>
        <w:spacing w:after="0" w:line="240" w:lineRule="auto"/>
        <w:ind w:left="720"/>
        <w:jc w:val="both"/>
      </w:pPr>
    </w:p>
    <w:p w14:paraId="26DAB149" w14:textId="1AEAB4AC" w:rsidR="004F196B" w:rsidRPr="00502A81" w:rsidRDefault="004F196B" w:rsidP="00905D3C">
      <w:pPr>
        <w:spacing w:after="0" w:line="240" w:lineRule="auto"/>
        <w:ind w:left="720"/>
        <w:jc w:val="both"/>
        <w:rPr>
          <w:b/>
        </w:rPr>
      </w:pPr>
      <w:r>
        <w:rPr>
          <w:b/>
        </w:rPr>
        <w:t>Step 4: Availability of Documentation</w:t>
      </w:r>
    </w:p>
    <w:p w14:paraId="2ECFF9EA" w14:textId="62CCAA67" w:rsidR="004F196B" w:rsidRDefault="00BD6054" w:rsidP="00905D3C">
      <w:pPr>
        <w:ind w:left="720"/>
        <w:jc w:val="both"/>
      </w:pPr>
      <w:r>
        <w:t>All origin and chain of custody or traceability d</w:t>
      </w:r>
      <w:r w:rsidR="004F196B">
        <w:t>ocumentation must be maintained on file and available for review upon request during the audit</w:t>
      </w:r>
      <w:r w:rsidR="00C62E01">
        <w:t xml:space="preserve">. </w:t>
      </w:r>
      <w:r w:rsidR="004F196B">
        <w:t>A</w:t>
      </w:r>
      <w:r w:rsidR="004F196B" w:rsidRPr="00F12980">
        <w:t xml:space="preserve"> sample of transactions will be selected by the auditor for validation in accordance with </w:t>
      </w:r>
      <w:r w:rsidR="004F196B" w:rsidRPr="00BB77C6">
        <w:t>the sampling guidance in Annex I</w:t>
      </w:r>
      <w:r w:rsidR="00830884" w:rsidRPr="00BB77C6">
        <w:t>I</w:t>
      </w:r>
      <w:r w:rsidR="004F196B" w:rsidRPr="00BB77C6">
        <w:t>I.</w:t>
      </w:r>
    </w:p>
    <w:p w14:paraId="7DCAAA6F" w14:textId="77777777" w:rsidR="004F196B" w:rsidRDefault="004F196B" w:rsidP="00C21A33">
      <w:pPr>
        <w:spacing w:after="0" w:line="240" w:lineRule="auto"/>
        <w:jc w:val="both"/>
      </w:pPr>
    </w:p>
    <w:p w14:paraId="3E25EEA4" w14:textId="42538744" w:rsidR="003648DE" w:rsidRDefault="003648DE" w:rsidP="006256DB">
      <w:pPr>
        <w:pStyle w:val="Heading3"/>
        <w:numPr>
          <w:ilvl w:val="0"/>
          <w:numId w:val="44"/>
        </w:numPr>
        <w:ind w:left="360"/>
        <w:jc w:val="both"/>
      </w:pPr>
      <w:bookmarkStart w:id="30" w:name="_Toc450308528"/>
      <w:r>
        <w:t>OECD Due Diligence Guidance: Step</w:t>
      </w:r>
      <w:r w:rsidR="002A50C4">
        <w:t>s</w:t>
      </w:r>
      <w:r>
        <w:t xml:space="preserve"> 2 </w:t>
      </w:r>
      <w:r w:rsidR="00E9500D">
        <w:t xml:space="preserve">and 3 – </w:t>
      </w:r>
      <w:r>
        <w:t xml:space="preserve">Risk Assessment </w:t>
      </w:r>
      <w:r w:rsidR="002A50C4">
        <w:t>and Mitigation</w:t>
      </w:r>
      <w:bookmarkEnd w:id="30"/>
    </w:p>
    <w:p w14:paraId="0E0FD70A" w14:textId="77777777" w:rsidR="00136514" w:rsidRDefault="00136514" w:rsidP="00C21A33">
      <w:pPr>
        <w:spacing w:after="0" w:line="240" w:lineRule="auto"/>
        <w:jc w:val="both"/>
      </w:pPr>
    </w:p>
    <w:p w14:paraId="62E72185" w14:textId="45F53B22" w:rsidR="00916488" w:rsidRDefault="00916488" w:rsidP="00C21A33">
      <w:pPr>
        <w:jc w:val="both"/>
      </w:pPr>
      <w:bookmarkStart w:id="31" w:name="_Toc315084477"/>
      <w:r w:rsidRPr="00F12980">
        <w:t xml:space="preserve">The </w:t>
      </w:r>
      <w:r>
        <w:t xml:space="preserve">smelter </w:t>
      </w:r>
      <w:r w:rsidRPr="00F12980">
        <w:t xml:space="preserve">is responsible </w:t>
      </w:r>
      <w:r w:rsidR="00BB77C6">
        <w:t>for performing</w:t>
      </w:r>
      <w:r w:rsidRPr="00F12980">
        <w:t xml:space="preserve"> supply chain due diligence following a risk-based approach before entering into </w:t>
      </w:r>
      <w:r>
        <w:t xml:space="preserve">a </w:t>
      </w:r>
      <w:r w:rsidRPr="00F12980">
        <w:t xml:space="preserve">business relationship with any </w:t>
      </w:r>
      <w:r>
        <w:t>supplier</w:t>
      </w:r>
      <w:r w:rsidRPr="00F12980">
        <w:t xml:space="preserve"> and </w:t>
      </w:r>
      <w:r w:rsidR="00BB77C6">
        <w:t xml:space="preserve">during </w:t>
      </w:r>
      <w:r w:rsidRPr="00F12980">
        <w:t>the business relationship.</w:t>
      </w:r>
      <w:r>
        <w:t xml:space="preserve"> The risk-based approach shall include, at a minimum, the following elements:</w:t>
      </w:r>
    </w:p>
    <w:bookmarkEnd w:id="31"/>
    <w:p w14:paraId="11520AC0" w14:textId="745F3A7A" w:rsidR="001F74F9" w:rsidRDefault="00916488" w:rsidP="00905D3C">
      <w:pPr>
        <w:pStyle w:val="Heading4"/>
        <w:ind w:left="0"/>
        <w:jc w:val="both"/>
      </w:pPr>
      <w:r>
        <w:t>Categorization of Material by Source and Associated Risk Level</w:t>
      </w:r>
    </w:p>
    <w:p w14:paraId="6501B30C" w14:textId="77777777" w:rsidR="003C7FBC" w:rsidRDefault="003C7FBC" w:rsidP="00C21A33">
      <w:pPr>
        <w:spacing w:after="0" w:line="240" w:lineRule="auto"/>
        <w:jc w:val="both"/>
      </w:pPr>
    </w:p>
    <w:p w14:paraId="7F8E1D69" w14:textId="29AF8CA6" w:rsidR="00916488" w:rsidRDefault="008A6FF8" w:rsidP="00905D3C">
      <w:pPr>
        <w:spacing w:after="0" w:line="240" w:lineRule="auto"/>
        <w:ind w:left="720"/>
        <w:jc w:val="both"/>
        <w:rPr>
          <w:b/>
        </w:rPr>
      </w:pPr>
      <w:r>
        <w:rPr>
          <w:b/>
        </w:rPr>
        <w:t xml:space="preserve">Step 1: </w:t>
      </w:r>
      <w:r w:rsidR="00916488">
        <w:rPr>
          <w:b/>
        </w:rPr>
        <w:t>Determination of Material Source</w:t>
      </w:r>
    </w:p>
    <w:p w14:paraId="57938FA8" w14:textId="362EA37D" w:rsidR="008A6FF8" w:rsidRDefault="00916488" w:rsidP="00905D3C">
      <w:pPr>
        <w:spacing w:after="0" w:line="240" w:lineRule="auto"/>
        <w:ind w:left="720"/>
        <w:jc w:val="both"/>
      </w:pPr>
      <w:r w:rsidRPr="00BB77C6">
        <w:t>The smelter shall c</w:t>
      </w:r>
      <w:r w:rsidR="008A6FF8" w:rsidRPr="00BB77C6">
        <w:t xml:space="preserve">ategorize </w:t>
      </w:r>
      <w:r w:rsidR="00584A7E">
        <w:t>materials</w:t>
      </w:r>
      <w:r w:rsidR="008A6FF8" w:rsidRPr="00BB77C6">
        <w:t xml:space="preserve"> in accordance with their </w:t>
      </w:r>
      <w:r w:rsidR="002A21EC" w:rsidRPr="00BB77C6">
        <w:t xml:space="preserve">source </w:t>
      </w:r>
      <w:r w:rsidR="008A6FF8" w:rsidRPr="00BB77C6">
        <w:t>using Table</w:t>
      </w:r>
      <w:r w:rsidR="00B15F5F" w:rsidRPr="00BB77C6">
        <w:t xml:space="preserve"> </w:t>
      </w:r>
      <w:r w:rsidR="008A6FF8" w:rsidRPr="00BB77C6">
        <w:t>1</w:t>
      </w:r>
      <w:r w:rsidR="00B15F5F" w:rsidRPr="00BB77C6">
        <w:t>. See Annex I</w:t>
      </w:r>
      <w:r w:rsidR="0043363A" w:rsidRPr="00BB77C6">
        <w:t>V and Annex V</w:t>
      </w:r>
      <w:r w:rsidR="00B15F5F" w:rsidRPr="00BB77C6">
        <w:t xml:space="preserve"> for a description of </w:t>
      </w:r>
      <w:r w:rsidR="00076126" w:rsidRPr="00BB77C6">
        <w:t>different material types for tin and tantalum</w:t>
      </w:r>
      <w:r w:rsidR="00B15F5F" w:rsidRPr="00BB77C6">
        <w:t>.</w:t>
      </w:r>
    </w:p>
    <w:p w14:paraId="01290E38" w14:textId="77777777" w:rsidR="00B15F5F" w:rsidRDefault="00B15F5F" w:rsidP="00C21A33">
      <w:pPr>
        <w:spacing w:after="0" w:line="240" w:lineRule="auto"/>
        <w:jc w:val="both"/>
      </w:pPr>
    </w:p>
    <w:p w14:paraId="2CC1315A" w14:textId="19D4849E" w:rsidR="008A6FF8" w:rsidRDefault="008A6FF8" w:rsidP="00F92897">
      <w:pPr>
        <w:pStyle w:val="Caption"/>
        <w:spacing w:after="0"/>
        <w:ind w:left="720" w:firstLine="720"/>
        <w:jc w:val="both"/>
      </w:pPr>
      <w:r>
        <w:t xml:space="preserve">Table </w:t>
      </w:r>
      <w:fldSimple w:instr=" SEQ Table \* ARABIC ">
        <w:r w:rsidR="005E61C5">
          <w:rPr>
            <w:noProof/>
          </w:rPr>
          <w:t>2</w:t>
        </w:r>
      </w:fldSimple>
      <w:r>
        <w:t>: Categories of material</w:t>
      </w:r>
    </w:p>
    <w:tbl>
      <w:tblPr>
        <w:tblStyle w:val="TableGrid"/>
        <w:tblW w:w="0" w:type="auto"/>
        <w:jc w:val="center"/>
        <w:tblLook w:val="04A0" w:firstRow="1" w:lastRow="0" w:firstColumn="1" w:lastColumn="0" w:noHBand="0" w:noVBand="1"/>
      </w:tblPr>
      <w:tblGrid>
        <w:gridCol w:w="2376"/>
        <w:gridCol w:w="4008"/>
      </w:tblGrid>
      <w:tr w:rsidR="009B785D" w:rsidRPr="000F382F" w14:paraId="3DE9C222" w14:textId="77777777" w:rsidTr="00F92897">
        <w:trPr>
          <w:jc w:val="center"/>
        </w:trPr>
        <w:tc>
          <w:tcPr>
            <w:tcW w:w="2376" w:type="dxa"/>
          </w:tcPr>
          <w:p w14:paraId="615E9340" w14:textId="1B13BD50" w:rsidR="009B785D" w:rsidRPr="00677261" w:rsidRDefault="009B785D" w:rsidP="00C21A33">
            <w:pPr>
              <w:jc w:val="both"/>
              <w:rPr>
                <w:b/>
              </w:rPr>
            </w:pPr>
            <w:r>
              <w:rPr>
                <w:b/>
              </w:rPr>
              <w:t>Category</w:t>
            </w:r>
          </w:p>
        </w:tc>
        <w:tc>
          <w:tcPr>
            <w:tcW w:w="4008" w:type="dxa"/>
          </w:tcPr>
          <w:p w14:paraId="0443F35E" w14:textId="5F525C3C" w:rsidR="009B785D" w:rsidRPr="00677261" w:rsidRDefault="009B785D" w:rsidP="00C21A33">
            <w:pPr>
              <w:jc w:val="both"/>
              <w:rPr>
                <w:b/>
              </w:rPr>
            </w:pPr>
            <w:r>
              <w:rPr>
                <w:b/>
              </w:rPr>
              <w:t>Source</w:t>
            </w:r>
          </w:p>
        </w:tc>
      </w:tr>
      <w:tr w:rsidR="00F92897" w14:paraId="4F7A0AB7" w14:textId="77777777" w:rsidTr="00F92897">
        <w:trPr>
          <w:jc w:val="center"/>
        </w:trPr>
        <w:tc>
          <w:tcPr>
            <w:tcW w:w="2376" w:type="dxa"/>
            <w:vMerge w:val="restart"/>
            <w:vAlign w:val="center"/>
          </w:tcPr>
          <w:p w14:paraId="4BC975DB" w14:textId="7B74A049" w:rsidR="00F92897" w:rsidRDefault="00F92897" w:rsidP="00F92897">
            <w:r>
              <w:t>Mined Materials</w:t>
            </w:r>
          </w:p>
        </w:tc>
        <w:tc>
          <w:tcPr>
            <w:tcW w:w="4008" w:type="dxa"/>
            <w:vAlign w:val="center"/>
          </w:tcPr>
          <w:p w14:paraId="0ABB34CB" w14:textId="44E6FD28" w:rsidR="00F92897" w:rsidRDefault="00F92897" w:rsidP="00F92897">
            <w:r>
              <w:t>Large Scale Mining</w:t>
            </w:r>
          </w:p>
        </w:tc>
      </w:tr>
      <w:tr w:rsidR="00F92897" w14:paraId="3ED02DE6" w14:textId="77777777" w:rsidTr="00F92897">
        <w:trPr>
          <w:jc w:val="center"/>
        </w:trPr>
        <w:tc>
          <w:tcPr>
            <w:tcW w:w="2376" w:type="dxa"/>
            <w:vMerge/>
            <w:vAlign w:val="center"/>
          </w:tcPr>
          <w:p w14:paraId="54F8A444" w14:textId="77777777" w:rsidR="00F92897" w:rsidRDefault="00F92897" w:rsidP="00F92897"/>
        </w:tc>
        <w:tc>
          <w:tcPr>
            <w:tcW w:w="4008" w:type="dxa"/>
            <w:vAlign w:val="center"/>
          </w:tcPr>
          <w:p w14:paraId="61C2BAB7" w14:textId="6C8ACDBB" w:rsidR="00F92897" w:rsidRDefault="00F92897" w:rsidP="00F92897">
            <w:r>
              <w:t>Artisanal and Small Scale Mining</w:t>
            </w:r>
          </w:p>
        </w:tc>
      </w:tr>
      <w:tr w:rsidR="00F92897" w14:paraId="7E3F4F81" w14:textId="77777777" w:rsidTr="00F92897">
        <w:trPr>
          <w:jc w:val="center"/>
        </w:trPr>
        <w:tc>
          <w:tcPr>
            <w:tcW w:w="2376" w:type="dxa"/>
            <w:vMerge w:val="restart"/>
            <w:vAlign w:val="center"/>
          </w:tcPr>
          <w:p w14:paraId="17F9E04E" w14:textId="18D0E429" w:rsidR="00F92897" w:rsidRDefault="00F92897" w:rsidP="00F92897">
            <w:r>
              <w:t>Secondary Materials</w:t>
            </w:r>
          </w:p>
        </w:tc>
        <w:tc>
          <w:tcPr>
            <w:tcW w:w="4008" w:type="dxa"/>
            <w:vAlign w:val="center"/>
          </w:tcPr>
          <w:p w14:paraId="681ED14C" w14:textId="240375D9" w:rsidR="00F92897" w:rsidRDefault="00F92897" w:rsidP="00F92897">
            <w:r>
              <w:t>Commercial</w:t>
            </w:r>
          </w:p>
        </w:tc>
      </w:tr>
      <w:tr w:rsidR="00F92897" w14:paraId="51803284" w14:textId="77777777" w:rsidTr="00F92897">
        <w:trPr>
          <w:jc w:val="center"/>
        </w:trPr>
        <w:tc>
          <w:tcPr>
            <w:tcW w:w="2376" w:type="dxa"/>
            <w:vMerge/>
            <w:vAlign w:val="center"/>
          </w:tcPr>
          <w:p w14:paraId="3F2BE3E0" w14:textId="77777777" w:rsidR="00F92897" w:rsidRPr="00CA2445" w:rsidRDefault="00F92897" w:rsidP="00F92897"/>
        </w:tc>
        <w:tc>
          <w:tcPr>
            <w:tcW w:w="4008" w:type="dxa"/>
            <w:vAlign w:val="center"/>
          </w:tcPr>
          <w:p w14:paraId="11D1CB4A" w14:textId="2CF0CC8E" w:rsidR="00F92897" w:rsidRPr="00CA2445" w:rsidRDefault="00F92897" w:rsidP="00F92897">
            <w:r w:rsidRPr="00CA2445">
              <w:t>Individual</w:t>
            </w:r>
          </w:p>
        </w:tc>
      </w:tr>
      <w:tr w:rsidR="009B785D" w14:paraId="31EFF686" w14:textId="77777777" w:rsidTr="00F92897">
        <w:trPr>
          <w:jc w:val="center"/>
        </w:trPr>
        <w:tc>
          <w:tcPr>
            <w:tcW w:w="2376" w:type="dxa"/>
            <w:vAlign w:val="center"/>
          </w:tcPr>
          <w:p w14:paraId="5DD9F329" w14:textId="20CDA661" w:rsidR="009B785D" w:rsidRDefault="009B785D" w:rsidP="00F92897">
            <w:r>
              <w:t>Legacy Materials</w:t>
            </w:r>
          </w:p>
        </w:tc>
        <w:tc>
          <w:tcPr>
            <w:tcW w:w="4008" w:type="dxa"/>
            <w:vAlign w:val="center"/>
          </w:tcPr>
          <w:p w14:paraId="0D525579" w14:textId="33CCC380" w:rsidR="009B785D" w:rsidRDefault="009B785D" w:rsidP="00F92897">
            <w:r>
              <w:t>Any source</w:t>
            </w:r>
          </w:p>
        </w:tc>
      </w:tr>
      <w:tr w:rsidR="00F92897" w14:paraId="5336380A" w14:textId="77777777" w:rsidTr="00F92897">
        <w:trPr>
          <w:jc w:val="center"/>
        </w:trPr>
        <w:tc>
          <w:tcPr>
            <w:tcW w:w="2376" w:type="dxa"/>
            <w:vMerge w:val="restart"/>
            <w:vAlign w:val="center"/>
          </w:tcPr>
          <w:p w14:paraId="5DD142DA" w14:textId="0C749488" w:rsidR="00F92897" w:rsidRDefault="00F92897" w:rsidP="00F92897">
            <w:r>
              <w:t>Intermediate Materials</w:t>
            </w:r>
          </w:p>
        </w:tc>
        <w:tc>
          <w:tcPr>
            <w:tcW w:w="4008" w:type="dxa"/>
            <w:vAlign w:val="center"/>
          </w:tcPr>
          <w:p w14:paraId="3FFE8CAC" w14:textId="5174CBC8" w:rsidR="00F92897" w:rsidRDefault="00F92897" w:rsidP="00F92897">
            <w:r>
              <w:t>CFSP (or equivalent) validated smelter</w:t>
            </w:r>
          </w:p>
        </w:tc>
      </w:tr>
      <w:tr w:rsidR="00F92897" w14:paraId="4E55994D" w14:textId="77777777" w:rsidTr="00F92897">
        <w:trPr>
          <w:jc w:val="center"/>
        </w:trPr>
        <w:tc>
          <w:tcPr>
            <w:tcW w:w="2376" w:type="dxa"/>
            <w:vMerge/>
            <w:vAlign w:val="center"/>
          </w:tcPr>
          <w:p w14:paraId="4156ADE5" w14:textId="77777777" w:rsidR="00F92897" w:rsidRDefault="00F92897" w:rsidP="00F92897"/>
        </w:tc>
        <w:tc>
          <w:tcPr>
            <w:tcW w:w="4008" w:type="dxa"/>
            <w:vAlign w:val="center"/>
          </w:tcPr>
          <w:p w14:paraId="355A0EE5" w14:textId="08BAA009" w:rsidR="00F92897" w:rsidRDefault="00F92897" w:rsidP="00F92897">
            <w:r>
              <w:t>Non-CFSP (or equivalent) validated smelter.</w:t>
            </w:r>
          </w:p>
        </w:tc>
      </w:tr>
    </w:tbl>
    <w:p w14:paraId="3CE4CA8C" w14:textId="77777777" w:rsidR="008A6FF8" w:rsidRDefault="008A6FF8" w:rsidP="00C21A33">
      <w:pPr>
        <w:spacing w:after="0" w:line="240" w:lineRule="auto"/>
        <w:jc w:val="both"/>
      </w:pPr>
    </w:p>
    <w:p w14:paraId="4EC3453F" w14:textId="50850A4B" w:rsidR="00916488" w:rsidRDefault="00CD4C77" w:rsidP="00584A7E">
      <w:pPr>
        <w:spacing w:after="0" w:line="240" w:lineRule="auto"/>
        <w:ind w:left="720"/>
        <w:jc w:val="both"/>
        <w:rPr>
          <w:b/>
        </w:rPr>
      </w:pPr>
      <w:r w:rsidRPr="00F12980">
        <w:rPr>
          <w:b/>
        </w:rPr>
        <w:t xml:space="preserve">Step 2: </w:t>
      </w:r>
      <w:r w:rsidR="00916488">
        <w:rPr>
          <w:b/>
        </w:rPr>
        <w:t>Determination of Risk Level</w:t>
      </w:r>
    </w:p>
    <w:p w14:paraId="3992EEFE" w14:textId="3AD0AE5D" w:rsidR="00DF35D7" w:rsidRDefault="009659EA" w:rsidP="00584A7E">
      <w:pPr>
        <w:spacing w:after="0" w:line="240" w:lineRule="auto"/>
        <w:ind w:left="720"/>
        <w:jc w:val="both"/>
      </w:pPr>
      <w:r>
        <w:t xml:space="preserve">The smelter shall </w:t>
      </w:r>
      <w:r w:rsidR="00DF35D7">
        <w:t>conduct a risk assessment to determine the appropriate risk level for each material</w:t>
      </w:r>
      <w:r w:rsidR="00584A7E">
        <w:t xml:space="preserve"> type</w:t>
      </w:r>
      <w:r w:rsidR="00DF35D7">
        <w:t>. The risk assessment shall include, at a minimum, the following elements:</w:t>
      </w:r>
      <w:r w:rsidR="00CD4C77" w:rsidRPr="00F12980">
        <w:t xml:space="preserve"> </w:t>
      </w:r>
    </w:p>
    <w:p w14:paraId="483A2E6B" w14:textId="77777777" w:rsidR="00DF35D7" w:rsidRDefault="00DF35D7" w:rsidP="00C21A33">
      <w:pPr>
        <w:spacing w:after="0" w:line="240" w:lineRule="auto"/>
        <w:jc w:val="both"/>
      </w:pPr>
    </w:p>
    <w:p w14:paraId="4966F69B" w14:textId="13C85872" w:rsidR="00CD4C77" w:rsidRDefault="00DF35D7" w:rsidP="006256DB">
      <w:pPr>
        <w:pStyle w:val="ListParagraph"/>
        <w:numPr>
          <w:ilvl w:val="0"/>
          <w:numId w:val="41"/>
        </w:numPr>
        <w:spacing w:after="0" w:line="240" w:lineRule="auto"/>
        <w:ind w:left="1080"/>
        <w:jc w:val="both"/>
      </w:pPr>
      <w:r>
        <w:t>A</w:t>
      </w:r>
      <w:r w:rsidR="00F77EE2">
        <w:t>ll risks addressed by the OECD Due Diligence Guidance, Annex II Model Policy. Specifically, these are risks related to:</w:t>
      </w:r>
    </w:p>
    <w:p w14:paraId="0D29BC02" w14:textId="77777777" w:rsidR="00DC3A32" w:rsidRDefault="00DC3A32" w:rsidP="00C21A33">
      <w:pPr>
        <w:spacing w:after="0" w:line="240" w:lineRule="auto"/>
        <w:jc w:val="both"/>
      </w:pPr>
    </w:p>
    <w:p w14:paraId="651A05E2" w14:textId="100923B6" w:rsidR="00F77EE2" w:rsidRDefault="00F77EE2" w:rsidP="006256DB">
      <w:pPr>
        <w:pStyle w:val="ListParagraph"/>
        <w:numPr>
          <w:ilvl w:val="0"/>
          <w:numId w:val="3"/>
        </w:numPr>
        <w:spacing w:after="0" w:line="240" w:lineRule="auto"/>
        <w:ind w:left="1440"/>
        <w:jc w:val="both"/>
      </w:pPr>
      <w:r>
        <w:t>Serious abuses associated with the extraction, transport or trade of minerals:</w:t>
      </w:r>
    </w:p>
    <w:p w14:paraId="6C4E39B7" w14:textId="2A7F2B9A" w:rsidR="00F77EE2" w:rsidRDefault="00F77EE2" w:rsidP="006256DB">
      <w:pPr>
        <w:pStyle w:val="ListParagraph"/>
        <w:numPr>
          <w:ilvl w:val="1"/>
          <w:numId w:val="3"/>
        </w:numPr>
        <w:spacing w:after="0" w:line="240" w:lineRule="auto"/>
        <w:ind w:left="1800"/>
        <w:jc w:val="both"/>
      </w:pPr>
      <w:r>
        <w:t>Any forms of torture, cruel, inhuman and degrading treatment;</w:t>
      </w:r>
    </w:p>
    <w:p w14:paraId="456E1096" w14:textId="374FF17F" w:rsidR="00F77EE2" w:rsidRDefault="00F77EE2" w:rsidP="006256DB">
      <w:pPr>
        <w:pStyle w:val="ListParagraph"/>
        <w:numPr>
          <w:ilvl w:val="1"/>
          <w:numId w:val="3"/>
        </w:numPr>
        <w:spacing w:after="0" w:line="240" w:lineRule="auto"/>
        <w:ind w:left="1800"/>
        <w:jc w:val="both"/>
      </w:pPr>
      <w:r>
        <w:t xml:space="preserve">Any forms of forced or compulsory </w:t>
      </w:r>
      <w:r w:rsidR="002A21EC">
        <w:t>labor</w:t>
      </w:r>
      <w:r>
        <w:t>;</w:t>
      </w:r>
    </w:p>
    <w:p w14:paraId="29D685A1" w14:textId="10F05BDF" w:rsidR="00F77EE2" w:rsidRDefault="00F77EE2" w:rsidP="006256DB">
      <w:pPr>
        <w:pStyle w:val="ListParagraph"/>
        <w:numPr>
          <w:ilvl w:val="1"/>
          <w:numId w:val="3"/>
        </w:numPr>
        <w:spacing w:after="0" w:line="240" w:lineRule="auto"/>
        <w:ind w:left="1800"/>
        <w:jc w:val="both"/>
      </w:pPr>
      <w:r>
        <w:t xml:space="preserve">The worst forms of child </w:t>
      </w:r>
      <w:r w:rsidR="002A21EC">
        <w:t>labor</w:t>
      </w:r>
      <w:r>
        <w:t>;</w:t>
      </w:r>
    </w:p>
    <w:p w14:paraId="2B40517D" w14:textId="4B0698D6" w:rsidR="00F77EE2" w:rsidRDefault="00F77EE2" w:rsidP="006256DB">
      <w:pPr>
        <w:pStyle w:val="ListParagraph"/>
        <w:numPr>
          <w:ilvl w:val="1"/>
          <w:numId w:val="3"/>
        </w:numPr>
        <w:spacing w:after="0" w:line="240" w:lineRule="auto"/>
        <w:ind w:left="1800"/>
        <w:jc w:val="both"/>
      </w:pPr>
      <w:r>
        <w:t>Other gross human rights violations and abuses such as widespread sexual violence;</w:t>
      </w:r>
    </w:p>
    <w:p w14:paraId="4459FB32" w14:textId="39C0CA0D" w:rsidR="00F77EE2" w:rsidRDefault="00F77EE2" w:rsidP="006256DB">
      <w:pPr>
        <w:pStyle w:val="ListParagraph"/>
        <w:numPr>
          <w:ilvl w:val="1"/>
          <w:numId w:val="3"/>
        </w:numPr>
        <w:spacing w:after="0" w:line="240" w:lineRule="auto"/>
        <w:ind w:left="1800"/>
        <w:jc w:val="both"/>
      </w:pPr>
      <w:r>
        <w:lastRenderedPageBreak/>
        <w:t>War crimes or other serious violations of international humanitarian law, crimes against humanity or genocide.</w:t>
      </w:r>
    </w:p>
    <w:p w14:paraId="151E519A" w14:textId="77777777" w:rsidR="00DC3A32" w:rsidRDefault="00DC3A32" w:rsidP="00D352DE">
      <w:pPr>
        <w:pStyle w:val="ListParagraph"/>
        <w:spacing w:after="0" w:line="240" w:lineRule="auto"/>
        <w:ind w:left="1440"/>
        <w:jc w:val="both"/>
      </w:pPr>
    </w:p>
    <w:p w14:paraId="472D2F40" w14:textId="0303990F" w:rsidR="00DC3A32" w:rsidRDefault="00F77EE2" w:rsidP="006256DB">
      <w:pPr>
        <w:pStyle w:val="ListParagraph"/>
        <w:numPr>
          <w:ilvl w:val="0"/>
          <w:numId w:val="3"/>
        </w:numPr>
        <w:spacing w:after="0" w:line="240" w:lineRule="auto"/>
        <w:ind w:left="1440"/>
        <w:jc w:val="both"/>
      </w:pPr>
      <w:r>
        <w:t>Direct or indirect support to non-state armed groups</w:t>
      </w:r>
      <w:r w:rsidR="00CA2445">
        <w:t>.</w:t>
      </w:r>
    </w:p>
    <w:p w14:paraId="179FE738" w14:textId="0343DFA4" w:rsidR="00DC3A32" w:rsidRDefault="00F77EE2" w:rsidP="006256DB">
      <w:pPr>
        <w:pStyle w:val="ListParagraph"/>
        <w:numPr>
          <w:ilvl w:val="0"/>
          <w:numId w:val="3"/>
        </w:numPr>
        <w:spacing w:after="0" w:line="240" w:lineRule="auto"/>
        <w:ind w:left="1440"/>
        <w:jc w:val="both"/>
      </w:pPr>
      <w:r>
        <w:t>Public or private security forces</w:t>
      </w:r>
      <w:r w:rsidR="00CA2445">
        <w:t>.</w:t>
      </w:r>
    </w:p>
    <w:p w14:paraId="5F92D722" w14:textId="498DF6B1" w:rsidR="00F77EE2" w:rsidRDefault="00F77EE2" w:rsidP="006256DB">
      <w:pPr>
        <w:pStyle w:val="ListParagraph"/>
        <w:numPr>
          <w:ilvl w:val="0"/>
          <w:numId w:val="3"/>
        </w:numPr>
        <w:spacing w:after="0" w:line="240" w:lineRule="auto"/>
        <w:ind w:left="1440"/>
        <w:jc w:val="both"/>
      </w:pPr>
      <w:r>
        <w:t>Bribery and fraudulent misrepresentation of the origin of minerals</w:t>
      </w:r>
      <w:r w:rsidR="00CA2445">
        <w:t>.</w:t>
      </w:r>
    </w:p>
    <w:p w14:paraId="420EF83F" w14:textId="663DC807" w:rsidR="00F77EE2" w:rsidRDefault="00F8410F" w:rsidP="006256DB">
      <w:pPr>
        <w:pStyle w:val="ListParagraph"/>
        <w:numPr>
          <w:ilvl w:val="0"/>
          <w:numId w:val="3"/>
        </w:numPr>
        <w:spacing w:after="0" w:line="240" w:lineRule="auto"/>
        <w:ind w:left="1440"/>
        <w:jc w:val="both"/>
      </w:pPr>
      <w:r>
        <w:t>Money laundering</w:t>
      </w:r>
      <w:r w:rsidR="00CA2445">
        <w:t>.</w:t>
      </w:r>
    </w:p>
    <w:p w14:paraId="0F3CEE82" w14:textId="6B2FABAD" w:rsidR="00F8410F" w:rsidRPr="00F12980" w:rsidRDefault="00F8410F" w:rsidP="006256DB">
      <w:pPr>
        <w:pStyle w:val="ListParagraph"/>
        <w:numPr>
          <w:ilvl w:val="0"/>
          <w:numId w:val="3"/>
        </w:numPr>
        <w:spacing w:after="0" w:line="240" w:lineRule="auto"/>
        <w:ind w:left="1440"/>
        <w:jc w:val="both"/>
      </w:pPr>
      <w:r>
        <w:t>Payment of taxes, fees and royalties to governments</w:t>
      </w:r>
      <w:r w:rsidR="00CA2445">
        <w:t>.</w:t>
      </w:r>
    </w:p>
    <w:p w14:paraId="0E0F840F" w14:textId="77777777" w:rsidR="00CD4C77" w:rsidRDefault="00CD4C77" w:rsidP="00C21A33">
      <w:pPr>
        <w:spacing w:after="0" w:line="240" w:lineRule="auto"/>
        <w:jc w:val="both"/>
      </w:pPr>
    </w:p>
    <w:p w14:paraId="6F1A8038" w14:textId="54D6B1C3" w:rsidR="003154D8" w:rsidRDefault="00DF35D7" w:rsidP="006256DB">
      <w:pPr>
        <w:pStyle w:val="ListParagraph"/>
        <w:widowControl w:val="0"/>
        <w:numPr>
          <w:ilvl w:val="0"/>
          <w:numId w:val="41"/>
        </w:numPr>
        <w:autoSpaceDE w:val="0"/>
        <w:autoSpaceDN w:val="0"/>
        <w:adjustRightInd w:val="0"/>
        <w:spacing w:after="0" w:line="240" w:lineRule="auto"/>
        <w:ind w:left="1080"/>
        <w:jc w:val="both"/>
      </w:pPr>
      <w:r>
        <w:t>The</w:t>
      </w:r>
      <w:r w:rsidR="003154D8">
        <w:t xml:space="preserve"> plausibility of material coming from the declared sources. </w:t>
      </w:r>
      <w:r>
        <w:t>The smelter is responsible to determine plausibility and shall consider:</w:t>
      </w:r>
    </w:p>
    <w:p w14:paraId="1EDA04B6" w14:textId="77777777" w:rsidR="00CA2445" w:rsidRDefault="00CA2445" w:rsidP="00C21A33">
      <w:pPr>
        <w:pStyle w:val="ListParagraph"/>
        <w:widowControl w:val="0"/>
        <w:autoSpaceDE w:val="0"/>
        <w:autoSpaceDN w:val="0"/>
        <w:adjustRightInd w:val="0"/>
        <w:spacing w:after="0" w:line="240" w:lineRule="auto"/>
        <w:ind w:left="634"/>
        <w:jc w:val="both"/>
      </w:pPr>
    </w:p>
    <w:p w14:paraId="66B5D688" w14:textId="77777777" w:rsidR="003154D8" w:rsidRDefault="003154D8" w:rsidP="006256DB">
      <w:pPr>
        <w:pStyle w:val="ListParagraph"/>
        <w:widowControl w:val="0"/>
        <w:numPr>
          <w:ilvl w:val="0"/>
          <w:numId w:val="40"/>
        </w:numPr>
        <w:autoSpaceDE w:val="0"/>
        <w:autoSpaceDN w:val="0"/>
        <w:adjustRightInd w:val="0"/>
        <w:spacing w:after="0" w:line="240" w:lineRule="auto"/>
        <w:ind w:left="1440"/>
        <w:jc w:val="both"/>
      </w:pPr>
      <w:r>
        <w:t xml:space="preserve">Reasonable efforts to understand production and export trends for areas the smelter sources mined material from. </w:t>
      </w:r>
    </w:p>
    <w:p w14:paraId="68F418B7" w14:textId="77777777" w:rsidR="003154D8" w:rsidRDefault="003154D8" w:rsidP="006256DB">
      <w:pPr>
        <w:pStyle w:val="ListParagraph"/>
        <w:widowControl w:val="0"/>
        <w:numPr>
          <w:ilvl w:val="0"/>
          <w:numId w:val="40"/>
        </w:numPr>
        <w:autoSpaceDE w:val="0"/>
        <w:autoSpaceDN w:val="0"/>
        <w:adjustRightInd w:val="0"/>
        <w:spacing w:after="0" w:line="240" w:lineRule="auto"/>
        <w:ind w:left="1440"/>
        <w:jc w:val="both"/>
      </w:pPr>
      <w:r>
        <w:t>Available information on the mining site such as geological studies, on-site visits or other data where the smelter has a direct relationship with a mine.</w:t>
      </w:r>
    </w:p>
    <w:p w14:paraId="7765013D" w14:textId="77777777" w:rsidR="003154D8" w:rsidRDefault="003154D8" w:rsidP="006256DB">
      <w:pPr>
        <w:pStyle w:val="ListParagraph"/>
        <w:widowControl w:val="0"/>
        <w:numPr>
          <w:ilvl w:val="0"/>
          <w:numId w:val="40"/>
        </w:numPr>
        <w:autoSpaceDE w:val="0"/>
        <w:autoSpaceDN w:val="0"/>
        <w:adjustRightInd w:val="0"/>
        <w:spacing w:after="0" w:line="240" w:lineRule="auto"/>
        <w:ind w:left="1440"/>
        <w:jc w:val="both"/>
      </w:pPr>
      <w:r>
        <w:t>The type, volume and tin / tantalum content of material received for secondary material.</w:t>
      </w:r>
    </w:p>
    <w:p w14:paraId="47FE6249" w14:textId="77777777" w:rsidR="003154D8" w:rsidRDefault="003154D8" w:rsidP="00C21A33">
      <w:pPr>
        <w:spacing w:after="0" w:line="240" w:lineRule="auto"/>
        <w:jc w:val="both"/>
      </w:pPr>
    </w:p>
    <w:p w14:paraId="050D6CFB" w14:textId="66C0B2EA" w:rsidR="003154D8" w:rsidRDefault="00DF35D7" w:rsidP="006256DB">
      <w:pPr>
        <w:pStyle w:val="ListParagraph"/>
        <w:numPr>
          <w:ilvl w:val="0"/>
          <w:numId w:val="41"/>
        </w:numPr>
        <w:spacing w:after="0" w:line="240" w:lineRule="auto"/>
        <w:ind w:left="1080"/>
        <w:jc w:val="both"/>
      </w:pPr>
      <w:r>
        <w:t>The cr</w:t>
      </w:r>
      <w:r w:rsidR="00D64AD4">
        <w:t>iteria defined in Table 2</w:t>
      </w:r>
      <w:r>
        <w:t xml:space="preserve">. If a smelter’s risk assessment or monitoring identifies sourcing from </w:t>
      </w:r>
      <w:r w:rsidR="00D64AD4">
        <w:t>CAHRAs</w:t>
      </w:r>
      <w:r w:rsidR="00027DB3">
        <w:t>, other than the specific countries listed in as Level 2 and 3 in Annex VII</w:t>
      </w:r>
      <w:r>
        <w:t xml:space="preserve">, these </w:t>
      </w:r>
      <w:r w:rsidRPr="00F12980">
        <w:t xml:space="preserve">will be classified as </w:t>
      </w:r>
      <w:r w:rsidR="00D64AD4">
        <w:t>Other CAHRA</w:t>
      </w:r>
      <w:r w:rsidRPr="00F12980">
        <w:t>.</w:t>
      </w:r>
    </w:p>
    <w:p w14:paraId="24BBD805" w14:textId="77777777" w:rsidR="00A45258" w:rsidRDefault="00A45258" w:rsidP="00C21A33">
      <w:pPr>
        <w:spacing w:after="0" w:line="240" w:lineRule="auto"/>
        <w:jc w:val="both"/>
      </w:pPr>
    </w:p>
    <w:p w14:paraId="0CC900D4" w14:textId="08F06D61" w:rsidR="00CD4C77" w:rsidRPr="00D64AD4" w:rsidRDefault="00CD4C77" w:rsidP="00D64AD4">
      <w:pPr>
        <w:pStyle w:val="Caption"/>
      </w:pPr>
      <w:r w:rsidRPr="00D64AD4">
        <w:t xml:space="preserve">Table </w:t>
      </w:r>
      <w:fldSimple w:instr=" SEQ Table \* ARABIC ">
        <w:r w:rsidR="005E61C5">
          <w:rPr>
            <w:noProof/>
          </w:rPr>
          <w:t>3</w:t>
        </w:r>
      </w:fldSimple>
      <w:r w:rsidRPr="00D64AD4">
        <w:t xml:space="preserve">: </w:t>
      </w:r>
      <w:r w:rsidR="00F92897">
        <w:t>Mining Material Risk Level</w:t>
      </w:r>
    </w:p>
    <w:tbl>
      <w:tblPr>
        <w:tblStyle w:val="TableGrid"/>
        <w:tblW w:w="0" w:type="auto"/>
        <w:tblLook w:val="04A0" w:firstRow="1" w:lastRow="0" w:firstColumn="1" w:lastColumn="0" w:noHBand="0" w:noVBand="1"/>
      </w:tblPr>
      <w:tblGrid>
        <w:gridCol w:w="1809"/>
        <w:gridCol w:w="1134"/>
        <w:gridCol w:w="6633"/>
      </w:tblGrid>
      <w:tr w:rsidR="00CD4C77" w:rsidRPr="00934FF8" w14:paraId="2BC586DC" w14:textId="77777777" w:rsidTr="00CD4C77">
        <w:tc>
          <w:tcPr>
            <w:tcW w:w="1809" w:type="dxa"/>
          </w:tcPr>
          <w:p w14:paraId="163172E0" w14:textId="77777777" w:rsidR="00CD4C77" w:rsidRPr="00934FF8" w:rsidRDefault="00CD4C77" w:rsidP="00C21A33">
            <w:pPr>
              <w:jc w:val="both"/>
              <w:rPr>
                <w:b/>
              </w:rPr>
            </w:pPr>
            <w:r w:rsidRPr="00934FF8">
              <w:rPr>
                <w:b/>
              </w:rPr>
              <w:t>Type of Material</w:t>
            </w:r>
          </w:p>
        </w:tc>
        <w:tc>
          <w:tcPr>
            <w:tcW w:w="1134" w:type="dxa"/>
          </w:tcPr>
          <w:p w14:paraId="0210B526" w14:textId="77777777" w:rsidR="00CD4C77" w:rsidRPr="00934FF8" w:rsidRDefault="00CD4C77" w:rsidP="00C21A33">
            <w:pPr>
              <w:jc w:val="both"/>
              <w:rPr>
                <w:b/>
              </w:rPr>
            </w:pPr>
            <w:r w:rsidRPr="00934FF8">
              <w:rPr>
                <w:b/>
              </w:rPr>
              <w:t>Risk Level</w:t>
            </w:r>
          </w:p>
        </w:tc>
        <w:tc>
          <w:tcPr>
            <w:tcW w:w="6633" w:type="dxa"/>
          </w:tcPr>
          <w:p w14:paraId="56022801" w14:textId="77777777" w:rsidR="00CD4C77" w:rsidRPr="00934FF8" w:rsidRDefault="00CD4C77" w:rsidP="00C21A33">
            <w:pPr>
              <w:jc w:val="both"/>
              <w:rPr>
                <w:b/>
              </w:rPr>
            </w:pPr>
            <w:r w:rsidRPr="00934FF8">
              <w:rPr>
                <w:b/>
              </w:rPr>
              <w:t>Definition</w:t>
            </w:r>
          </w:p>
        </w:tc>
      </w:tr>
      <w:tr w:rsidR="00CD4C77" w:rsidRPr="00934FF8" w14:paraId="541A76D5" w14:textId="77777777" w:rsidTr="00E54DF8">
        <w:tc>
          <w:tcPr>
            <w:tcW w:w="1809" w:type="dxa"/>
            <w:vMerge w:val="restart"/>
            <w:vAlign w:val="center"/>
          </w:tcPr>
          <w:p w14:paraId="53D35DE4" w14:textId="012F4ADC" w:rsidR="00CD4C77" w:rsidRPr="00934FF8" w:rsidRDefault="00E54DF8" w:rsidP="00E54DF8">
            <w:r>
              <w:t>Mining M</w:t>
            </w:r>
            <w:r w:rsidR="00CD4C77" w:rsidRPr="00934FF8">
              <w:t>aterial</w:t>
            </w:r>
          </w:p>
        </w:tc>
        <w:tc>
          <w:tcPr>
            <w:tcW w:w="1134" w:type="dxa"/>
            <w:vAlign w:val="center"/>
          </w:tcPr>
          <w:p w14:paraId="6EC5E7F7" w14:textId="77777777" w:rsidR="00CD4C77" w:rsidRPr="00934FF8" w:rsidRDefault="00CD4C77" w:rsidP="00E54DF8">
            <w:r w:rsidRPr="00934FF8">
              <w:t>Level 1</w:t>
            </w:r>
          </w:p>
        </w:tc>
        <w:tc>
          <w:tcPr>
            <w:tcW w:w="6633" w:type="dxa"/>
            <w:vAlign w:val="center"/>
          </w:tcPr>
          <w:p w14:paraId="3960DD66" w14:textId="2D97C1F3" w:rsidR="00CD4C77" w:rsidRPr="00934FF8" w:rsidRDefault="00D64AD4" w:rsidP="00E54DF8">
            <w:r>
              <w:t>Supply c</w:t>
            </w:r>
            <w:r w:rsidR="00A97AF6" w:rsidRPr="00934FF8">
              <w:t xml:space="preserve">hains where tin or tantalum is mined in a country </w:t>
            </w:r>
            <w:r w:rsidR="00934FF8">
              <w:t xml:space="preserve">that </w:t>
            </w:r>
            <w:r w:rsidR="00565918" w:rsidRPr="00502A81">
              <w:t>is not identified as Level 2 or Level 3.</w:t>
            </w:r>
          </w:p>
        </w:tc>
      </w:tr>
      <w:tr w:rsidR="00CD4C77" w:rsidRPr="00934FF8" w14:paraId="1A2A5B88" w14:textId="77777777" w:rsidTr="00E54DF8">
        <w:tc>
          <w:tcPr>
            <w:tcW w:w="1809" w:type="dxa"/>
            <w:vMerge/>
            <w:vAlign w:val="center"/>
          </w:tcPr>
          <w:p w14:paraId="164DAEFC" w14:textId="7F09CE74" w:rsidR="00CD4C77" w:rsidRPr="00934FF8" w:rsidRDefault="00CD4C77" w:rsidP="00E54DF8"/>
        </w:tc>
        <w:tc>
          <w:tcPr>
            <w:tcW w:w="1134" w:type="dxa"/>
            <w:vAlign w:val="center"/>
          </w:tcPr>
          <w:p w14:paraId="3D3EB8B6" w14:textId="77777777" w:rsidR="00CD4C77" w:rsidRPr="00934FF8" w:rsidRDefault="00CD4C77" w:rsidP="00E54DF8">
            <w:r w:rsidRPr="00934FF8">
              <w:t>Level 2</w:t>
            </w:r>
          </w:p>
        </w:tc>
        <w:tc>
          <w:tcPr>
            <w:tcW w:w="6633" w:type="dxa"/>
            <w:vAlign w:val="center"/>
          </w:tcPr>
          <w:p w14:paraId="27951EAE" w14:textId="61A96DEF" w:rsidR="00565918" w:rsidRPr="00934FF8" w:rsidRDefault="0030374A" w:rsidP="00E54DF8">
            <w:r w:rsidRPr="00934FF8">
              <w:t>Supply chains where</w:t>
            </w:r>
            <w:r w:rsidR="00565918" w:rsidRPr="00934FF8">
              <w:t xml:space="preserve"> </w:t>
            </w:r>
            <w:r w:rsidR="009C4881" w:rsidRPr="009C4881">
              <w:t>tin or tantalum material</w:t>
            </w:r>
            <w:r w:rsidR="006252E2" w:rsidRPr="00502A81">
              <w:t xml:space="preserve"> is mined in a country where</w:t>
            </w:r>
            <w:r w:rsidR="00565918" w:rsidRPr="00502A81">
              <w:t xml:space="preserve"> </w:t>
            </w:r>
            <w:r w:rsidR="00D64AD4">
              <w:t>materials from CAHRAs</w:t>
            </w:r>
            <w:r w:rsidR="00565918" w:rsidRPr="00502A81">
              <w:t xml:space="preserve"> areas are known to transit, legally or illegally.</w:t>
            </w:r>
          </w:p>
          <w:p w14:paraId="6D28FF3B" w14:textId="77777777" w:rsidR="00FD4CE2" w:rsidRPr="00934FF8" w:rsidRDefault="00FD4CE2" w:rsidP="00E54DF8"/>
          <w:p w14:paraId="2A40FCAE" w14:textId="424CE478" w:rsidR="00CD4C77" w:rsidRPr="00934FF8" w:rsidRDefault="0070255A" w:rsidP="00E54DF8">
            <w:pPr>
              <w:rPr>
                <w:rFonts w:cs="Calibri"/>
              </w:rPr>
            </w:pPr>
            <w:r>
              <w:t xml:space="preserve">Level 2 countries </w:t>
            </w:r>
            <w:r w:rsidR="00FD4CE2" w:rsidRPr="00934FF8">
              <w:t>include</w:t>
            </w:r>
            <w:r w:rsidR="00672C02">
              <w:t xml:space="preserve">, but </w:t>
            </w:r>
            <w:r>
              <w:t xml:space="preserve">are </w:t>
            </w:r>
            <w:r w:rsidR="00672C02">
              <w:t>not limited to</w:t>
            </w:r>
            <w:r w:rsidR="00FD4CE2" w:rsidRPr="00934FF8">
              <w:t xml:space="preserve">: </w:t>
            </w:r>
            <w:r w:rsidR="00FD4CE2" w:rsidRPr="00502A81">
              <w:t>Kenya, Mozambique</w:t>
            </w:r>
            <w:r>
              <w:t>, South Africa</w:t>
            </w:r>
            <w:r>
              <w:rPr>
                <w:rStyle w:val="FootnoteReference"/>
              </w:rPr>
              <w:footnoteReference w:id="8"/>
            </w:r>
            <w:r>
              <w:t>.</w:t>
            </w:r>
          </w:p>
        </w:tc>
      </w:tr>
      <w:tr w:rsidR="00CD4C77" w:rsidRPr="00934FF8" w14:paraId="0E24ADAA" w14:textId="77777777" w:rsidTr="00E54DF8">
        <w:tc>
          <w:tcPr>
            <w:tcW w:w="1809" w:type="dxa"/>
            <w:vMerge/>
            <w:vAlign w:val="center"/>
          </w:tcPr>
          <w:p w14:paraId="66062C59" w14:textId="2AE53E17" w:rsidR="00CD4C77" w:rsidRPr="00934FF8" w:rsidRDefault="00CD4C77" w:rsidP="00E54DF8"/>
        </w:tc>
        <w:tc>
          <w:tcPr>
            <w:tcW w:w="1134" w:type="dxa"/>
            <w:vAlign w:val="center"/>
          </w:tcPr>
          <w:p w14:paraId="15E0382A" w14:textId="77777777" w:rsidR="00CD4C77" w:rsidRPr="00934FF8" w:rsidRDefault="00CD4C77" w:rsidP="00E54DF8">
            <w:r w:rsidRPr="00934FF8">
              <w:t>Level 3</w:t>
            </w:r>
          </w:p>
        </w:tc>
        <w:tc>
          <w:tcPr>
            <w:tcW w:w="6633" w:type="dxa"/>
            <w:vAlign w:val="center"/>
          </w:tcPr>
          <w:p w14:paraId="5E76C9F2" w14:textId="7F6C0D99" w:rsidR="006252E2" w:rsidRPr="00502A81" w:rsidRDefault="006252E2" w:rsidP="00E54DF8">
            <w:r w:rsidRPr="00502A81">
              <w:t xml:space="preserve">Supply chains where tin or tantalum material is mined in </w:t>
            </w:r>
            <w:r w:rsidR="00027DB3">
              <w:t>a CAHRA</w:t>
            </w:r>
            <w:r w:rsidRPr="00502A81">
              <w:t xml:space="preserve"> as defined by the mineral origin and/or supplier red flags of the OECD Supplement on Tin, Tantalum and Tungsten:</w:t>
            </w:r>
          </w:p>
          <w:p w14:paraId="0E2E1EA3" w14:textId="6AC57654" w:rsidR="006252E2" w:rsidRPr="00934FF8" w:rsidRDefault="006252E2" w:rsidP="006256DB">
            <w:pPr>
              <w:pStyle w:val="ListParagraph"/>
              <w:numPr>
                <w:ilvl w:val="0"/>
                <w:numId w:val="42"/>
              </w:numPr>
            </w:pPr>
            <w:r w:rsidRPr="00934FF8">
              <w:rPr>
                <w:iCs/>
              </w:rPr>
              <w:t xml:space="preserve">The minerals originate from or have been transported via a </w:t>
            </w:r>
            <w:r w:rsidR="00D64AD4">
              <w:rPr>
                <w:iCs/>
              </w:rPr>
              <w:t>CAHRA</w:t>
            </w:r>
            <w:r w:rsidRPr="00934FF8">
              <w:rPr>
                <w:iCs/>
              </w:rPr>
              <w:t xml:space="preserve"> (as defined by the OECD)</w:t>
            </w:r>
          </w:p>
          <w:p w14:paraId="1A59FEE7" w14:textId="31BFFC85" w:rsidR="006252E2" w:rsidRPr="00934FF8" w:rsidRDefault="006252E2" w:rsidP="006256DB">
            <w:pPr>
              <w:pStyle w:val="ListParagraph"/>
              <w:numPr>
                <w:ilvl w:val="0"/>
                <w:numId w:val="42"/>
              </w:numPr>
            </w:pPr>
            <w:r w:rsidRPr="00934FF8">
              <w:rPr>
                <w:iCs/>
              </w:rPr>
              <w:t>The minerals are claimed to originate from a country that has limited known reserves, likely resources</w:t>
            </w:r>
            <w:r w:rsidR="00041D9C">
              <w:rPr>
                <w:iCs/>
              </w:rPr>
              <w:t>,</w:t>
            </w:r>
            <w:r w:rsidRPr="00934FF8">
              <w:rPr>
                <w:iCs/>
              </w:rPr>
              <w:t xml:space="preserve"> or expected production levels of the mineral in question (i.e. the declared volumes of mineral from that country are out of keeping with its known reserves or expected production levels). </w:t>
            </w:r>
          </w:p>
          <w:p w14:paraId="0994936D" w14:textId="77777777" w:rsidR="006252E2" w:rsidRPr="00934FF8" w:rsidRDefault="006252E2" w:rsidP="006256DB">
            <w:pPr>
              <w:pStyle w:val="ListParagraph"/>
              <w:numPr>
                <w:ilvl w:val="0"/>
                <w:numId w:val="42"/>
              </w:numPr>
            </w:pPr>
            <w:r w:rsidRPr="00934FF8">
              <w:t xml:space="preserve">The company’s suppliers or other known upstream companies </w:t>
            </w:r>
            <w:r w:rsidRPr="00934FF8">
              <w:lastRenderedPageBreak/>
              <w:t>have shareholder or other interests in companies that supply minerals from or operate in one of the above-mentioned red flag locations of mineral origin and transit.</w:t>
            </w:r>
          </w:p>
          <w:p w14:paraId="23E87638" w14:textId="10E9DB5D" w:rsidR="006252E2" w:rsidRPr="00934FF8" w:rsidRDefault="006252E2" w:rsidP="006256DB">
            <w:pPr>
              <w:pStyle w:val="ListParagraph"/>
              <w:numPr>
                <w:ilvl w:val="0"/>
                <w:numId w:val="42"/>
              </w:numPr>
            </w:pPr>
            <w:r w:rsidRPr="00934FF8">
              <w:t xml:space="preserve">The company’s suppliers’ </w:t>
            </w:r>
            <w:r w:rsidR="00901F2D">
              <w:t>and/</w:t>
            </w:r>
            <w:r w:rsidRPr="00934FF8">
              <w:t>or other upstream companies are known to have sourced minerals from a red flag location of mineral origin and transit in the last 12 months.</w:t>
            </w:r>
          </w:p>
          <w:p w14:paraId="60B7B7B0" w14:textId="77777777" w:rsidR="006252E2" w:rsidRPr="00934FF8" w:rsidRDefault="006252E2" w:rsidP="00E54DF8">
            <w:pPr>
              <w:rPr>
                <w:rFonts w:asciiTheme="majorHAnsi" w:eastAsiaTheme="majorEastAsia" w:hAnsiTheme="majorHAnsi" w:cs="Calibri"/>
                <w:smallCaps/>
                <w:color w:val="595959" w:themeColor="text1" w:themeTint="A6"/>
                <w:sz w:val="28"/>
                <w:szCs w:val="28"/>
              </w:rPr>
            </w:pPr>
          </w:p>
          <w:p w14:paraId="6E0698E6" w14:textId="17842609" w:rsidR="00653E82" w:rsidRPr="00934FF8" w:rsidRDefault="0070255A" w:rsidP="00E54DF8">
            <w:pPr>
              <w:rPr>
                <w:rFonts w:ascii="Calibri" w:eastAsiaTheme="majorEastAsia" w:hAnsi="Calibri" w:cstheme="majorBidi"/>
                <w:b/>
                <w:bCs/>
              </w:rPr>
            </w:pPr>
            <w:r>
              <w:rPr>
                <w:rFonts w:cs="Calibri"/>
              </w:rPr>
              <w:t xml:space="preserve">Level 3 countries </w:t>
            </w:r>
            <w:r w:rsidR="006252E2" w:rsidRPr="00934FF8">
              <w:rPr>
                <w:rFonts w:cs="Calibri"/>
              </w:rPr>
              <w:t xml:space="preserve">include: </w:t>
            </w:r>
            <w:r w:rsidR="00653E82" w:rsidRPr="00934FF8">
              <w:t>T</w:t>
            </w:r>
            <w:r w:rsidR="00CD4C77" w:rsidRPr="00934FF8">
              <w:t xml:space="preserve">he </w:t>
            </w:r>
            <w:r w:rsidR="00CD4C77" w:rsidRPr="00934FF8">
              <w:rPr>
                <w:u w:val="single"/>
              </w:rPr>
              <w:t>Democratic Republic of the Congo (DRC) and its nine adjoining countries</w:t>
            </w:r>
            <w:r w:rsidR="00CD4C77" w:rsidRPr="00934FF8">
              <w:t xml:space="preserve"> as outlined in Section 1502 of the Dodd Frank Act. These include Angola, Burundi, Central African Republic, DRC, Republic of the Congo, Rwanda, South Sudan,</w:t>
            </w:r>
            <w:r w:rsidR="00653E82" w:rsidRPr="00934FF8">
              <w:t xml:space="preserve"> Tanzania, Uganda, and Zambia. </w:t>
            </w:r>
            <w:r w:rsidR="00CD4C77" w:rsidRPr="00934FF8">
              <w:t>These are also commonly referred to as "covered countries</w:t>
            </w:r>
            <w:r w:rsidR="004008E1" w:rsidRPr="00934FF8">
              <w:t>”</w:t>
            </w:r>
            <w:r w:rsidR="00CD4C77" w:rsidRPr="00934FF8">
              <w:t>.</w:t>
            </w:r>
          </w:p>
        </w:tc>
      </w:tr>
      <w:tr w:rsidR="00A6726E" w:rsidRPr="00934FF8" w14:paraId="2B259098" w14:textId="77777777" w:rsidTr="00E54DF8">
        <w:tc>
          <w:tcPr>
            <w:tcW w:w="1809" w:type="dxa"/>
            <w:vAlign w:val="center"/>
          </w:tcPr>
          <w:p w14:paraId="3192FFBA" w14:textId="0E579292" w:rsidR="00A6726E" w:rsidRPr="00934FF8" w:rsidRDefault="00E54DF8" w:rsidP="00E54DF8">
            <w:r>
              <w:lastRenderedPageBreak/>
              <w:t>Mining Material</w:t>
            </w:r>
          </w:p>
        </w:tc>
        <w:tc>
          <w:tcPr>
            <w:tcW w:w="1134" w:type="dxa"/>
            <w:vAlign w:val="center"/>
          </w:tcPr>
          <w:p w14:paraId="6F696361" w14:textId="353F1824" w:rsidR="00A6726E" w:rsidRPr="00934FF8" w:rsidRDefault="00A6726E" w:rsidP="00E54DF8">
            <w:r w:rsidRPr="00934FF8">
              <w:t>Other CAHRA(s)</w:t>
            </w:r>
          </w:p>
        </w:tc>
        <w:tc>
          <w:tcPr>
            <w:tcW w:w="6633" w:type="dxa"/>
            <w:vAlign w:val="center"/>
          </w:tcPr>
          <w:p w14:paraId="35794016" w14:textId="6F52A702" w:rsidR="00812105" w:rsidRPr="00502A81" w:rsidRDefault="008124F5" w:rsidP="00E54DF8">
            <w:r w:rsidRPr="008124F5">
              <w:t>Other s</w:t>
            </w:r>
            <w:r w:rsidR="00812105" w:rsidRPr="00502A81">
              <w:t xml:space="preserve">upply chains where tin or tantalum material is mined in </w:t>
            </w:r>
            <w:r w:rsidR="00027DB3">
              <w:t xml:space="preserve">a </w:t>
            </w:r>
            <w:r w:rsidR="00D64AD4">
              <w:t>CAHRA</w:t>
            </w:r>
            <w:r w:rsidR="00812105" w:rsidRPr="00502A81">
              <w:t xml:space="preserve"> as defined by the mineral origin AND known legal and illegal transit routes and / or supplier red flags of the OECD Supplement on Tin, Tantalum and Tungsten:</w:t>
            </w:r>
          </w:p>
          <w:p w14:paraId="079C5041" w14:textId="08A65B2C" w:rsidR="00812105" w:rsidRPr="00502A81" w:rsidRDefault="00812105" w:rsidP="006256DB">
            <w:pPr>
              <w:pStyle w:val="ListParagraph"/>
              <w:numPr>
                <w:ilvl w:val="0"/>
                <w:numId w:val="43"/>
              </w:numPr>
            </w:pPr>
            <w:r w:rsidRPr="00502A81">
              <w:t xml:space="preserve">The minerals originate from or have been transported via a </w:t>
            </w:r>
            <w:r w:rsidR="00D64AD4">
              <w:t>CAHRA</w:t>
            </w:r>
            <w:r w:rsidRPr="00502A81">
              <w:t xml:space="preserve"> (as defined by the OECD)</w:t>
            </w:r>
            <w:r w:rsidR="00636CE1">
              <w:t>.</w:t>
            </w:r>
          </w:p>
          <w:p w14:paraId="12BF934D" w14:textId="291DEE0D" w:rsidR="00812105" w:rsidRPr="00502A81" w:rsidRDefault="00812105" w:rsidP="006256DB">
            <w:pPr>
              <w:pStyle w:val="ListParagraph"/>
              <w:numPr>
                <w:ilvl w:val="0"/>
                <w:numId w:val="43"/>
              </w:numPr>
            </w:pPr>
            <w:r w:rsidRPr="00502A81">
              <w:t>The minerals are claimed to originate from a country that has limited known reserves, likely resources</w:t>
            </w:r>
            <w:r w:rsidR="00901F2D">
              <w:t>,</w:t>
            </w:r>
            <w:r w:rsidRPr="00502A81">
              <w:t xml:space="preserve"> or expected production levels of the mineral in question (i.e. the declared volumes of mineral from that country are out of keeping with its known reserves or expected production levels). </w:t>
            </w:r>
          </w:p>
          <w:p w14:paraId="44EAF0E3" w14:textId="088F2E2F" w:rsidR="00812105" w:rsidRPr="00934FF8" w:rsidRDefault="00812105" w:rsidP="006256DB">
            <w:pPr>
              <w:pStyle w:val="ListParagraph"/>
              <w:numPr>
                <w:ilvl w:val="0"/>
                <w:numId w:val="43"/>
              </w:numPr>
            </w:pPr>
            <w:r w:rsidRPr="00502A81">
              <w:rPr>
                <w:iCs/>
              </w:rPr>
              <w:t>The minerals are claimed to originate from a countr</w:t>
            </w:r>
            <w:r w:rsidR="00027DB3">
              <w:rPr>
                <w:iCs/>
              </w:rPr>
              <w:t>y</w:t>
            </w:r>
            <w:r w:rsidR="00027DB3">
              <w:t xml:space="preserve"> </w:t>
            </w:r>
            <w:r w:rsidR="00027DB3" w:rsidRPr="00027DB3">
              <w:t>where materials from CAHRAs areas are known to transit, legally or illegally</w:t>
            </w:r>
            <w:r w:rsidR="00027DB3">
              <w:t>.</w:t>
            </w:r>
          </w:p>
          <w:p w14:paraId="5A82A19A" w14:textId="77777777" w:rsidR="00812105" w:rsidRPr="00502A81" w:rsidRDefault="00812105" w:rsidP="006256DB">
            <w:pPr>
              <w:pStyle w:val="ListParagraph"/>
              <w:numPr>
                <w:ilvl w:val="0"/>
                <w:numId w:val="43"/>
              </w:numPr>
            </w:pPr>
            <w:r w:rsidRPr="00502A81">
              <w:t>The company’s suppliers or other known upstream companies have shareholder or other interests in companies that supply minerals from or operate in one of the above-mentioned red flag locations of mineral origin and transit.</w:t>
            </w:r>
          </w:p>
          <w:p w14:paraId="391664CB" w14:textId="76913208" w:rsidR="00A6726E" w:rsidRPr="00934FF8" w:rsidRDefault="00812105" w:rsidP="006256DB">
            <w:pPr>
              <w:pStyle w:val="ListParagraph"/>
              <w:numPr>
                <w:ilvl w:val="0"/>
                <w:numId w:val="43"/>
              </w:numPr>
            </w:pPr>
            <w:r w:rsidRPr="00502A81">
              <w:t xml:space="preserve">The company’s suppliers’ </w:t>
            </w:r>
            <w:r w:rsidR="00331E27">
              <w:t>and/</w:t>
            </w:r>
            <w:r w:rsidRPr="00502A81">
              <w:t>or other upstream companies are known to have sourced minerals from a red flag location of mineral origin and transit in the last 12 months.</w:t>
            </w:r>
          </w:p>
        </w:tc>
      </w:tr>
    </w:tbl>
    <w:p w14:paraId="598058E6" w14:textId="77777777" w:rsidR="00D41435" w:rsidRDefault="00D41435" w:rsidP="00C21A33">
      <w:pPr>
        <w:spacing w:after="0" w:line="240" w:lineRule="auto"/>
        <w:jc w:val="both"/>
        <w:rPr>
          <w:b/>
        </w:rPr>
      </w:pPr>
    </w:p>
    <w:p w14:paraId="11DC21F3" w14:textId="77777777" w:rsidR="00E54DF8" w:rsidRDefault="00E54DF8" w:rsidP="003C5F70">
      <w:pPr>
        <w:spacing w:after="0" w:line="240" w:lineRule="auto"/>
        <w:ind w:left="720"/>
        <w:jc w:val="both"/>
        <w:rPr>
          <w:b/>
        </w:rPr>
      </w:pPr>
    </w:p>
    <w:p w14:paraId="450F2791" w14:textId="77777777" w:rsidR="00E54DF8" w:rsidRDefault="00E54DF8" w:rsidP="003C5F70">
      <w:pPr>
        <w:spacing w:after="0" w:line="240" w:lineRule="auto"/>
        <w:ind w:left="720"/>
        <w:jc w:val="both"/>
        <w:rPr>
          <w:b/>
        </w:rPr>
      </w:pPr>
    </w:p>
    <w:p w14:paraId="716DB9AB" w14:textId="77777777" w:rsidR="00E54DF8" w:rsidRDefault="00E54DF8" w:rsidP="003C5F70">
      <w:pPr>
        <w:spacing w:after="0" w:line="240" w:lineRule="auto"/>
        <w:ind w:left="720"/>
        <w:jc w:val="both"/>
        <w:rPr>
          <w:b/>
        </w:rPr>
      </w:pPr>
    </w:p>
    <w:p w14:paraId="1978C6B7" w14:textId="77777777" w:rsidR="00E54DF8" w:rsidRDefault="00E54DF8" w:rsidP="003C5F70">
      <w:pPr>
        <w:spacing w:after="0" w:line="240" w:lineRule="auto"/>
        <w:ind w:left="720"/>
        <w:jc w:val="both"/>
        <w:rPr>
          <w:b/>
        </w:rPr>
      </w:pPr>
    </w:p>
    <w:p w14:paraId="496C1C0B" w14:textId="77777777" w:rsidR="00E54DF8" w:rsidRDefault="00E54DF8" w:rsidP="003C5F70">
      <w:pPr>
        <w:spacing w:after="0" w:line="240" w:lineRule="auto"/>
        <w:ind w:left="720"/>
        <w:jc w:val="both"/>
        <w:rPr>
          <w:b/>
        </w:rPr>
      </w:pPr>
    </w:p>
    <w:p w14:paraId="537CA95D" w14:textId="77777777" w:rsidR="00E54DF8" w:rsidRDefault="00E54DF8" w:rsidP="003C5F70">
      <w:pPr>
        <w:spacing w:after="0" w:line="240" w:lineRule="auto"/>
        <w:ind w:left="720"/>
        <w:jc w:val="both"/>
        <w:rPr>
          <w:b/>
        </w:rPr>
      </w:pPr>
    </w:p>
    <w:p w14:paraId="707A26AE" w14:textId="77777777" w:rsidR="00E54DF8" w:rsidRDefault="00E54DF8" w:rsidP="003C5F70">
      <w:pPr>
        <w:spacing w:after="0" w:line="240" w:lineRule="auto"/>
        <w:ind w:left="720"/>
        <w:jc w:val="both"/>
        <w:rPr>
          <w:b/>
        </w:rPr>
      </w:pPr>
    </w:p>
    <w:p w14:paraId="192ACF82" w14:textId="77777777" w:rsidR="00E54DF8" w:rsidRDefault="00E54DF8" w:rsidP="003C5F70">
      <w:pPr>
        <w:spacing w:after="0" w:line="240" w:lineRule="auto"/>
        <w:ind w:left="720"/>
        <w:jc w:val="both"/>
        <w:rPr>
          <w:b/>
        </w:rPr>
      </w:pPr>
    </w:p>
    <w:p w14:paraId="1A677017" w14:textId="77777777" w:rsidR="00E54DF8" w:rsidRDefault="00E54DF8" w:rsidP="003C5F70">
      <w:pPr>
        <w:spacing w:after="0" w:line="240" w:lineRule="auto"/>
        <w:ind w:left="720"/>
        <w:jc w:val="both"/>
        <w:rPr>
          <w:b/>
        </w:rPr>
      </w:pPr>
    </w:p>
    <w:p w14:paraId="0D43EF3C" w14:textId="77777777" w:rsidR="00E54DF8" w:rsidRDefault="00E54DF8" w:rsidP="003C5F70">
      <w:pPr>
        <w:spacing w:after="0" w:line="240" w:lineRule="auto"/>
        <w:ind w:left="720"/>
        <w:jc w:val="both"/>
        <w:rPr>
          <w:b/>
        </w:rPr>
      </w:pPr>
    </w:p>
    <w:p w14:paraId="023D9237" w14:textId="77777777" w:rsidR="00E54DF8" w:rsidRDefault="00E54DF8" w:rsidP="003C5F70">
      <w:pPr>
        <w:spacing w:after="0" w:line="240" w:lineRule="auto"/>
        <w:ind w:left="720"/>
        <w:jc w:val="both"/>
        <w:rPr>
          <w:b/>
        </w:rPr>
      </w:pPr>
    </w:p>
    <w:p w14:paraId="0F1EEB0D" w14:textId="77777777" w:rsidR="00E54DF8" w:rsidRDefault="00E54DF8" w:rsidP="003C5F70">
      <w:pPr>
        <w:spacing w:after="0" w:line="240" w:lineRule="auto"/>
        <w:ind w:left="720"/>
        <w:jc w:val="both"/>
        <w:rPr>
          <w:b/>
        </w:rPr>
      </w:pPr>
    </w:p>
    <w:p w14:paraId="34EB3186" w14:textId="75AB7AD7" w:rsidR="00993B7E" w:rsidRDefault="00CD4C77" w:rsidP="003C5F70">
      <w:pPr>
        <w:spacing w:after="0" w:line="240" w:lineRule="auto"/>
        <w:ind w:left="720"/>
        <w:jc w:val="both"/>
        <w:rPr>
          <w:b/>
        </w:rPr>
      </w:pPr>
      <w:r w:rsidRPr="00F12980">
        <w:rPr>
          <w:b/>
        </w:rPr>
        <w:lastRenderedPageBreak/>
        <w:t>Step 3:</w:t>
      </w:r>
      <w:r w:rsidR="00993B7E">
        <w:rPr>
          <w:b/>
        </w:rPr>
        <w:t xml:space="preserve"> Determination of Due Diligence Requirements</w:t>
      </w:r>
      <w:r w:rsidR="002B5E5F">
        <w:rPr>
          <w:b/>
        </w:rPr>
        <w:t xml:space="preserve"> (Levels 2, 3, and Other CAHRAs)</w:t>
      </w:r>
    </w:p>
    <w:p w14:paraId="133EEBF1" w14:textId="65FC3CDF" w:rsidR="00993B7E" w:rsidRDefault="00CD4C77" w:rsidP="003C5F70">
      <w:pPr>
        <w:spacing w:after="0" w:line="240" w:lineRule="auto"/>
        <w:ind w:left="720"/>
        <w:jc w:val="both"/>
      </w:pPr>
      <w:r w:rsidRPr="00F12980">
        <w:t xml:space="preserve">For </w:t>
      </w:r>
      <w:r w:rsidR="00993B7E">
        <w:t>Level 2, Level 3</w:t>
      </w:r>
      <w:r w:rsidR="00027DB3">
        <w:t>,</w:t>
      </w:r>
      <w:r w:rsidR="00993B7E">
        <w:t xml:space="preserve"> and Other CAHRAs </w:t>
      </w:r>
      <w:r w:rsidR="00596A77">
        <w:t xml:space="preserve">sourcing, </w:t>
      </w:r>
      <w:r w:rsidRPr="00F12980">
        <w:t xml:space="preserve">the </w:t>
      </w:r>
      <w:r>
        <w:t>smelte</w:t>
      </w:r>
      <w:r w:rsidRPr="00F12980">
        <w:t>r is required to exercise due diligence over the mineral supply chain in accordance with the OECD Due Diligence Guidance</w:t>
      </w:r>
      <w:r w:rsidR="00AE1EBB">
        <w:t>. Smelters are expected to implement d</w:t>
      </w:r>
      <w:r w:rsidR="00AE1EBB" w:rsidRPr="00AE1EBB">
        <w:t>ue diligence as a continual, ongoing process</w:t>
      </w:r>
      <w:r w:rsidR="00AE1EBB">
        <w:t xml:space="preserve"> and are expected to improve performance over time</w:t>
      </w:r>
      <w:r w:rsidR="00AE1EBB" w:rsidRPr="00AE1EBB">
        <w:t>.</w:t>
      </w:r>
    </w:p>
    <w:p w14:paraId="3C39D639" w14:textId="77777777" w:rsidR="00E54DF8" w:rsidRDefault="00E54DF8" w:rsidP="00F92897">
      <w:pPr>
        <w:spacing w:after="0" w:line="240" w:lineRule="auto"/>
        <w:jc w:val="both"/>
      </w:pPr>
    </w:p>
    <w:p w14:paraId="10756606" w14:textId="3203A31A" w:rsidR="00993B7E" w:rsidRDefault="003C5F70" w:rsidP="00F92897">
      <w:pPr>
        <w:pStyle w:val="Caption"/>
        <w:spacing w:after="0"/>
        <w:ind w:left="720" w:firstLine="720"/>
      </w:pPr>
      <w:r>
        <w:t xml:space="preserve">Table 3: OECD Conformance </w:t>
      </w:r>
      <w:r w:rsidR="00916DB0">
        <w:t>Expectation</w:t>
      </w:r>
    </w:p>
    <w:tbl>
      <w:tblPr>
        <w:tblStyle w:val="TableGrid"/>
        <w:tblW w:w="0" w:type="auto"/>
        <w:jc w:val="center"/>
        <w:tblLook w:val="04A0" w:firstRow="1" w:lastRow="0" w:firstColumn="1" w:lastColumn="0" w:noHBand="0" w:noVBand="1"/>
      </w:tblPr>
      <w:tblGrid>
        <w:gridCol w:w="1008"/>
        <w:gridCol w:w="5407"/>
      </w:tblGrid>
      <w:tr w:rsidR="00993B7E" w14:paraId="5BBE98A3" w14:textId="77777777" w:rsidTr="00F92897">
        <w:trPr>
          <w:jc w:val="center"/>
        </w:trPr>
        <w:tc>
          <w:tcPr>
            <w:tcW w:w="1008" w:type="dxa"/>
          </w:tcPr>
          <w:p w14:paraId="0E99BB45" w14:textId="266A00D9" w:rsidR="00993B7E" w:rsidRPr="00502A81" w:rsidRDefault="00993B7E" w:rsidP="00C21A33">
            <w:pPr>
              <w:spacing w:after="160" w:line="259" w:lineRule="auto"/>
              <w:jc w:val="both"/>
              <w:rPr>
                <w:b/>
              </w:rPr>
            </w:pPr>
            <w:r w:rsidRPr="00502A81">
              <w:rPr>
                <w:b/>
              </w:rPr>
              <w:t>Level 2</w:t>
            </w:r>
          </w:p>
        </w:tc>
        <w:tc>
          <w:tcPr>
            <w:tcW w:w="5407" w:type="dxa"/>
          </w:tcPr>
          <w:p w14:paraId="3AB20D8C" w14:textId="717DD778" w:rsidR="00993B7E" w:rsidRDefault="00D711D4" w:rsidP="00C21A33">
            <w:pPr>
              <w:jc w:val="both"/>
            </w:pPr>
            <w:r>
              <w:t xml:space="preserve">Conformance with the </w:t>
            </w:r>
            <w:r w:rsidR="00993B7E">
              <w:t xml:space="preserve">OECD Due Diligence Guidance </w:t>
            </w:r>
            <w:r>
              <w:t xml:space="preserve">required </w:t>
            </w:r>
            <w:r w:rsidR="00993B7E" w:rsidRPr="00993B7E">
              <w:t xml:space="preserve">as </w:t>
            </w:r>
            <w:r w:rsidR="00993B7E">
              <w:t>applicable</w:t>
            </w:r>
            <w:r w:rsidR="00993B7E" w:rsidRPr="00993B7E">
              <w:t xml:space="preserve"> to risks related to mineral transit</w:t>
            </w:r>
            <w:r w:rsidR="00993B7E">
              <w:t>.</w:t>
            </w:r>
          </w:p>
        </w:tc>
      </w:tr>
      <w:tr w:rsidR="00993B7E" w14:paraId="0FA895B4" w14:textId="77777777" w:rsidTr="00F92897">
        <w:trPr>
          <w:jc w:val="center"/>
        </w:trPr>
        <w:tc>
          <w:tcPr>
            <w:tcW w:w="1008" w:type="dxa"/>
          </w:tcPr>
          <w:p w14:paraId="39F28AD1" w14:textId="4BAF4F16" w:rsidR="00993B7E" w:rsidRPr="00502A81" w:rsidRDefault="00993B7E" w:rsidP="00C21A33">
            <w:pPr>
              <w:spacing w:after="160" w:line="259" w:lineRule="auto"/>
              <w:jc w:val="both"/>
              <w:rPr>
                <w:b/>
              </w:rPr>
            </w:pPr>
            <w:r w:rsidRPr="00502A81">
              <w:rPr>
                <w:b/>
              </w:rPr>
              <w:t>Level 3</w:t>
            </w:r>
          </w:p>
        </w:tc>
        <w:tc>
          <w:tcPr>
            <w:tcW w:w="5407" w:type="dxa"/>
          </w:tcPr>
          <w:p w14:paraId="28C45975" w14:textId="1E76D5CB" w:rsidR="00993B7E" w:rsidRDefault="0023635A" w:rsidP="00C21A33">
            <w:pPr>
              <w:jc w:val="both"/>
            </w:pPr>
            <w:r>
              <w:t>Full conformance with the OECD Due Diligence Guidance required.</w:t>
            </w:r>
          </w:p>
        </w:tc>
      </w:tr>
      <w:tr w:rsidR="00993B7E" w14:paraId="6864E546" w14:textId="77777777" w:rsidTr="00F92897">
        <w:trPr>
          <w:jc w:val="center"/>
        </w:trPr>
        <w:tc>
          <w:tcPr>
            <w:tcW w:w="1008" w:type="dxa"/>
          </w:tcPr>
          <w:p w14:paraId="5183D6B5" w14:textId="1F79D90F" w:rsidR="00993B7E" w:rsidRPr="00502A81" w:rsidRDefault="00993B7E" w:rsidP="00C21A33">
            <w:pPr>
              <w:spacing w:after="160" w:line="259" w:lineRule="auto"/>
              <w:jc w:val="both"/>
              <w:rPr>
                <w:b/>
              </w:rPr>
            </w:pPr>
            <w:r w:rsidRPr="00502A81">
              <w:rPr>
                <w:b/>
              </w:rPr>
              <w:t>Other CAHRAs</w:t>
            </w:r>
          </w:p>
        </w:tc>
        <w:tc>
          <w:tcPr>
            <w:tcW w:w="5407" w:type="dxa"/>
          </w:tcPr>
          <w:p w14:paraId="49D0C00F" w14:textId="4AC6CB2A" w:rsidR="00993B7E" w:rsidRDefault="0023635A" w:rsidP="00C21A33">
            <w:pPr>
              <w:jc w:val="both"/>
            </w:pPr>
            <w:r>
              <w:t>Full conformance with the OECD Due Diligence Guidance required within three (3) years. Progress towards full conformance required every year.</w:t>
            </w:r>
          </w:p>
        </w:tc>
      </w:tr>
    </w:tbl>
    <w:p w14:paraId="63FBCB78" w14:textId="5E20193F" w:rsidR="00993B7E" w:rsidRDefault="00993B7E" w:rsidP="00C21A33">
      <w:pPr>
        <w:spacing w:after="0" w:line="240" w:lineRule="auto"/>
        <w:jc w:val="both"/>
      </w:pPr>
    </w:p>
    <w:p w14:paraId="0C274DEB" w14:textId="6CCC5A6D" w:rsidR="00C06020" w:rsidRDefault="00C06020" w:rsidP="003C5F70">
      <w:pPr>
        <w:spacing w:after="0" w:line="240" w:lineRule="auto"/>
        <w:ind w:left="720"/>
        <w:jc w:val="both"/>
      </w:pPr>
      <w:r>
        <w:t xml:space="preserve">To demonstrate conformance with the OECD Due Diligence Guidance, the smelter </w:t>
      </w:r>
      <w:r w:rsidR="00596A77">
        <w:t>shall</w:t>
      </w:r>
      <w:r>
        <w:t xml:space="preserve"> complete the OECD Conformance Assessment </w:t>
      </w:r>
      <w:r w:rsidR="00C84841">
        <w:t xml:space="preserve">Tool </w:t>
      </w:r>
      <w:r>
        <w:t>prior to the CFSP audit.</w:t>
      </w:r>
      <w:r w:rsidR="00C84841">
        <w:t xml:space="preserve"> The O</w:t>
      </w:r>
      <w:r w:rsidR="00360B3C">
        <w:t>ECD Conformance Assessment Tool:</w:t>
      </w:r>
    </w:p>
    <w:p w14:paraId="57006611" w14:textId="77777777" w:rsidR="00360B3C" w:rsidRDefault="00360B3C" w:rsidP="00C21A33">
      <w:pPr>
        <w:spacing w:after="0" w:line="240" w:lineRule="auto"/>
        <w:jc w:val="both"/>
      </w:pPr>
    </w:p>
    <w:p w14:paraId="3C8ED975" w14:textId="5F8EADD7" w:rsidR="00AE1EBB" w:rsidRDefault="00AE1EBB" w:rsidP="006256DB">
      <w:pPr>
        <w:pStyle w:val="ListParagraph"/>
        <w:numPr>
          <w:ilvl w:val="0"/>
          <w:numId w:val="31"/>
        </w:numPr>
        <w:spacing w:after="0" w:line="240" w:lineRule="auto"/>
        <w:ind w:left="1080"/>
        <w:jc w:val="both"/>
      </w:pPr>
      <w:r>
        <w:t>Specifies areas that may be addressed by an upstream assurance system and defines under what circumstances such areas do not need to be included in the CFSP audit scope.</w:t>
      </w:r>
    </w:p>
    <w:p w14:paraId="14136AD9" w14:textId="2EB32E5D" w:rsidR="00C84841" w:rsidRDefault="00596A77" w:rsidP="006256DB">
      <w:pPr>
        <w:pStyle w:val="ListParagraph"/>
        <w:numPr>
          <w:ilvl w:val="0"/>
          <w:numId w:val="31"/>
        </w:numPr>
        <w:spacing w:after="0" w:line="240" w:lineRule="auto"/>
        <w:ind w:left="1080"/>
        <w:jc w:val="both"/>
      </w:pPr>
      <w:r>
        <w:t xml:space="preserve">Details expectations for </w:t>
      </w:r>
      <w:r w:rsidR="00D711D4">
        <w:t xml:space="preserve">Level 2, </w:t>
      </w:r>
      <w:r w:rsidR="00A02F23">
        <w:t>Level 3 and Other CAHRAs sources</w:t>
      </w:r>
      <w:r w:rsidR="00C84841">
        <w:t>;</w:t>
      </w:r>
    </w:p>
    <w:p w14:paraId="23073A54" w14:textId="20208CDB" w:rsidR="00C84841" w:rsidRDefault="00AE1EBB" w:rsidP="006256DB">
      <w:pPr>
        <w:pStyle w:val="ListParagraph"/>
        <w:numPr>
          <w:ilvl w:val="0"/>
          <w:numId w:val="31"/>
        </w:numPr>
        <w:spacing w:after="0" w:line="240" w:lineRule="auto"/>
        <w:ind w:left="1080"/>
        <w:jc w:val="both"/>
      </w:pPr>
      <w:r>
        <w:t xml:space="preserve">Identifies </w:t>
      </w:r>
      <w:r w:rsidR="00C84841">
        <w:t xml:space="preserve">requirements that may be met over time </w:t>
      </w:r>
      <w:r>
        <w:t xml:space="preserve">(three year period) </w:t>
      </w:r>
      <w:r w:rsidR="00C84841">
        <w:t xml:space="preserve">for </w:t>
      </w:r>
      <w:r>
        <w:t xml:space="preserve">sourcing from </w:t>
      </w:r>
      <w:r w:rsidR="00A02F23">
        <w:t>Other CAHRAs</w:t>
      </w:r>
      <w:r w:rsidR="004008E1">
        <w:t>;</w:t>
      </w:r>
    </w:p>
    <w:p w14:paraId="64341377" w14:textId="77777777" w:rsidR="00C84841" w:rsidRDefault="00C84841" w:rsidP="00164609">
      <w:pPr>
        <w:spacing w:after="0" w:line="240" w:lineRule="auto"/>
        <w:jc w:val="both"/>
      </w:pPr>
    </w:p>
    <w:p w14:paraId="74869F3C" w14:textId="77777777" w:rsidR="00F76499" w:rsidRDefault="00596A77" w:rsidP="00164609">
      <w:pPr>
        <w:spacing w:after="0" w:line="240" w:lineRule="auto"/>
        <w:ind w:left="720"/>
        <w:jc w:val="both"/>
      </w:pPr>
      <w:r>
        <w:t xml:space="preserve">Smelters are expected to </w:t>
      </w:r>
      <w:r w:rsidRPr="00596A77">
        <w:t>use good faith and reasonable</w:t>
      </w:r>
      <w:r>
        <w:t xml:space="preserve"> efforts in their due diligence, including </w:t>
      </w:r>
      <w:r w:rsidRPr="00596A77">
        <w:t>monitor emerging risks and incident</w:t>
      </w:r>
      <w:r>
        <w:t>s</w:t>
      </w:r>
      <w:r w:rsidRPr="00596A77">
        <w:t xml:space="preserve"> in their supply chain(s) and </w:t>
      </w:r>
      <w:r>
        <w:t xml:space="preserve">shall take these components </w:t>
      </w:r>
      <w:r w:rsidRPr="00596A77">
        <w:t>into account in</w:t>
      </w:r>
      <w:r>
        <w:t xml:space="preserve"> their due diligence activities.</w:t>
      </w:r>
      <w:r w:rsidR="00DF030E">
        <w:t xml:space="preserve"> </w:t>
      </w:r>
    </w:p>
    <w:p w14:paraId="35082EE0" w14:textId="77777777" w:rsidR="00F76499" w:rsidRDefault="00F76499" w:rsidP="00164609">
      <w:pPr>
        <w:spacing w:after="0" w:line="240" w:lineRule="auto"/>
        <w:ind w:left="720"/>
        <w:jc w:val="both"/>
      </w:pPr>
    </w:p>
    <w:p w14:paraId="45D07097" w14:textId="306ADE81" w:rsidR="002C4640" w:rsidRDefault="00DF030E" w:rsidP="00164609">
      <w:pPr>
        <w:spacing w:after="0" w:line="240" w:lineRule="auto"/>
        <w:ind w:left="720"/>
        <w:jc w:val="both"/>
        <w:rPr>
          <w:rFonts w:cs="Calibri"/>
        </w:rPr>
      </w:pPr>
      <w:r>
        <w:t>R</w:t>
      </w:r>
      <w:r>
        <w:rPr>
          <w:rFonts w:cs="Calibri"/>
        </w:rPr>
        <w:t>isk assessment</w:t>
      </w:r>
      <w:r w:rsidR="00F76499">
        <w:rPr>
          <w:rFonts w:cs="Calibri"/>
        </w:rPr>
        <w:t xml:space="preserve"> and mitigation for Level 2, Level 3, and Other CAHRA sourcing </w:t>
      </w:r>
      <w:r>
        <w:rPr>
          <w:rFonts w:cs="Calibri"/>
        </w:rPr>
        <w:t xml:space="preserve">shall include, at a minimum, the following minimum components: </w:t>
      </w:r>
    </w:p>
    <w:p w14:paraId="3C4735C2" w14:textId="77777777" w:rsidR="00164609" w:rsidRDefault="00164609" w:rsidP="00164609">
      <w:pPr>
        <w:spacing w:after="0" w:line="240" w:lineRule="auto"/>
        <w:ind w:left="720"/>
        <w:jc w:val="both"/>
      </w:pPr>
    </w:p>
    <w:p w14:paraId="6907595A" w14:textId="38B6E8B6" w:rsidR="00B42294" w:rsidRDefault="002C4640" w:rsidP="00164609">
      <w:pPr>
        <w:pStyle w:val="Heading4"/>
        <w:spacing w:before="0"/>
        <w:ind w:left="0"/>
        <w:jc w:val="both"/>
      </w:pPr>
      <w:r w:rsidRPr="009938BB">
        <w:t>Risk Assessment</w:t>
      </w:r>
    </w:p>
    <w:p w14:paraId="5261AFBC" w14:textId="77777777" w:rsidR="00164609" w:rsidRPr="00164609" w:rsidRDefault="00164609" w:rsidP="00164609">
      <w:pPr>
        <w:spacing w:after="0"/>
      </w:pPr>
    </w:p>
    <w:p w14:paraId="6FCEB372" w14:textId="0123CE1F" w:rsidR="00360B3C" w:rsidRDefault="00B42294" w:rsidP="006256DB">
      <w:pPr>
        <w:pStyle w:val="ListParagraph"/>
        <w:numPr>
          <w:ilvl w:val="0"/>
          <w:numId w:val="45"/>
        </w:numPr>
        <w:spacing w:after="0" w:line="240" w:lineRule="auto"/>
        <w:ind w:left="1080"/>
        <w:jc w:val="both"/>
      </w:pPr>
      <w:r>
        <w:t>Identify the scope of the risk assessment as done in Step 2</w:t>
      </w:r>
      <w:r w:rsidR="00F16452">
        <w:t xml:space="preserve"> of this section,</w:t>
      </w:r>
      <w:r>
        <w:t xml:space="preserve"> applying the red flag criteria.</w:t>
      </w:r>
    </w:p>
    <w:p w14:paraId="7A935A05" w14:textId="77777777" w:rsidR="00314D31" w:rsidRDefault="00314D31" w:rsidP="00314D31">
      <w:pPr>
        <w:pStyle w:val="ListParagraph"/>
        <w:spacing w:after="0" w:line="240" w:lineRule="auto"/>
        <w:ind w:left="1080"/>
        <w:jc w:val="both"/>
      </w:pPr>
    </w:p>
    <w:p w14:paraId="2C1372E9" w14:textId="6AFF8AB8" w:rsidR="00B42294" w:rsidRDefault="00B42294" w:rsidP="001863D7">
      <w:pPr>
        <w:pStyle w:val="ListParagraph"/>
        <w:numPr>
          <w:ilvl w:val="0"/>
          <w:numId w:val="45"/>
        </w:numPr>
        <w:spacing w:after="0" w:line="240" w:lineRule="auto"/>
        <w:ind w:left="1080"/>
        <w:jc w:val="both"/>
      </w:pPr>
      <w:r>
        <w:t>Map the factual circumstan</w:t>
      </w:r>
      <w:r w:rsidR="00E54DF8">
        <w:t xml:space="preserve">ces of the supply chains, underway and planned, </w:t>
      </w:r>
      <w:r w:rsidR="00E54DF8" w:rsidRPr="00E54DF8">
        <w:t>including the origin of minerals and the activities/relationships of suppliers.</w:t>
      </w:r>
    </w:p>
    <w:p w14:paraId="3F9F1F9A" w14:textId="054C7235" w:rsidR="009015EC" w:rsidRDefault="009015EC" w:rsidP="001863D7">
      <w:pPr>
        <w:pStyle w:val="ListParagraph"/>
        <w:numPr>
          <w:ilvl w:val="1"/>
          <w:numId w:val="45"/>
        </w:numPr>
        <w:spacing w:after="0" w:line="240" w:lineRule="auto"/>
        <w:ind w:left="1440"/>
        <w:jc w:val="both"/>
      </w:pPr>
      <w:r>
        <w:t xml:space="preserve">Assess </w:t>
      </w:r>
      <w:r w:rsidR="00314D31">
        <w:t>the context of mineral sourcing</w:t>
      </w:r>
      <w:r w:rsidR="00164609">
        <w:t>.</w:t>
      </w:r>
    </w:p>
    <w:p w14:paraId="11B75664" w14:textId="3C3ABD23" w:rsidR="009015EC" w:rsidRDefault="009015EC" w:rsidP="001863D7">
      <w:pPr>
        <w:pStyle w:val="ListParagraph"/>
        <w:numPr>
          <w:ilvl w:val="1"/>
          <w:numId w:val="45"/>
        </w:numPr>
        <w:spacing w:after="0" w:line="240" w:lineRule="auto"/>
        <w:ind w:left="1440"/>
        <w:jc w:val="both"/>
      </w:pPr>
      <w:r>
        <w:t>Clarify the chain of custody.</w:t>
      </w:r>
    </w:p>
    <w:p w14:paraId="01F164E9" w14:textId="77777777" w:rsidR="00314D31" w:rsidRDefault="00314D31" w:rsidP="00314D31">
      <w:pPr>
        <w:pStyle w:val="ListParagraph"/>
        <w:spacing w:after="0" w:line="240" w:lineRule="auto"/>
        <w:ind w:left="1440"/>
        <w:jc w:val="both"/>
      </w:pPr>
    </w:p>
    <w:p w14:paraId="3476C959" w14:textId="3E2887FF" w:rsidR="009015EC" w:rsidRDefault="009015EC" w:rsidP="006256DB">
      <w:pPr>
        <w:pStyle w:val="ListParagraph"/>
        <w:numPr>
          <w:ilvl w:val="0"/>
          <w:numId w:val="45"/>
        </w:numPr>
        <w:spacing w:after="0" w:line="240" w:lineRule="auto"/>
        <w:ind w:left="1080"/>
        <w:jc w:val="both"/>
      </w:pPr>
      <w:r>
        <w:t>Assess risks in the supply chain by comparing the factual circumstances against the risks in the OECD Due Diligence Guidance Annex II Model Policy.</w:t>
      </w:r>
    </w:p>
    <w:p w14:paraId="09BF739E" w14:textId="77777777" w:rsidR="00360B3C" w:rsidRDefault="00360B3C" w:rsidP="00164609">
      <w:pPr>
        <w:pStyle w:val="ListParagraph"/>
        <w:spacing w:after="0" w:line="240" w:lineRule="auto"/>
        <w:jc w:val="both"/>
      </w:pPr>
    </w:p>
    <w:p w14:paraId="75F35587" w14:textId="173FE84C" w:rsidR="009015EC" w:rsidRDefault="009015EC" w:rsidP="00164609">
      <w:pPr>
        <w:pStyle w:val="Heading4"/>
        <w:spacing w:before="0"/>
        <w:ind w:left="0"/>
        <w:jc w:val="both"/>
      </w:pPr>
      <w:r>
        <w:t>Risk Mitigation</w:t>
      </w:r>
    </w:p>
    <w:p w14:paraId="089F9F5C" w14:textId="77777777" w:rsidR="00164609" w:rsidRPr="00164609" w:rsidRDefault="00164609" w:rsidP="00164609">
      <w:pPr>
        <w:spacing w:after="0"/>
      </w:pPr>
    </w:p>
    <w:p w14:paraId="5B46D4FD" w14:textId="7D0C9208" w:rsidR="009015EC" w:rsidRDefault="00D7402A" w:rsidP="00164609">
      <w:pPr>
        <w:spacing w:after="0" w:line="240" w:lineRule="auto"/>
        <w:jc w:val="both"/>
      </w:pPr>
      <w:r>
        <w:lastRenderedPageBreak/>
        <w:t>Where risks are identified in the supply chain, the smelter shall:</w:t>
      </w:r>
    </w:p>
    <w:p w14:paraId="10894444" w14:textId="3A4BD577" w:rsidR="00D7402A" w:rsidRDefault="00D7402A" w:rsidP="006256DB">
      <w:pPr>
        <w:pStyle w:val="ListParagraph"/>
        <w:numPr>
          <w:ilvl w:val="0"/>
          <w:numId w:val="32"/>
        </w:numPr>
        <w:spacing w:after="0" w:line="240" w:lineRule="auto"/>
        <w:ind w:left="1080"/>
        <w:jc w:val="both"/>
      </w:pPr>
      <w:r>
        <w:t>Report findings to senior manag</w:t>
      </w:r>
      <w:r w:rsidR="007170DA">
        <w:t>ement.</w:t>
      </w:r>
    </w:p>
    <w:p w14:paraId="4394B7FB" w14:textId="77777777" w:rsidR="00314D31" w:rsidRDefault="00314D31" w:rsidP="00314D31">
      <w:pPr>
        <w:pStyle w:val="ListParagraph"/>
        <w:spacing w:after="0" w:line="240" w:lineRule="auto"/>
        <w:ind w:left="1080"/>
        <w:jc w:val="both"/>
      </w:pPr>
    </w:p>
    <w:p w14:paraId="1768C5C8" w14:textId="53477BBB" w:rsidR="00314D31" w:rsidRDefault="00D7402A" w:rsidP="006256DB">
      <w:pPr>
        <w:pStyle w:val="ListParagraph"/>
        <w:numPr>
          <w:ilvl w:val="0"/>
          <w:numId w:val="32"/>
        </w:numPr>
        <w:spacing w:after="0" w:line="240" w:lineRule="auto"/>
        <w:ind w:left="1080"/>
        <w:jc w:val="both"/>
      </w:pPr>
      <w:r>
        <w:t xml:space="preserve">Devise and adopt a risk management plan, adopting </w:t>
      </w:r>
      <w:r w:rsidR="00314D31">
        <w:t>a</w:t>
      </w:r>
      <w:r>
        <w:t xml:space="preserve"> risk management strategy as defined in the OECD Due Diligence</w:t>
      </w:r>
      <w:r w:rsidR="00314D31">
        <w:t xml:space="preserve"> Guidance Annex II Model Policy. Risk mitigation strategies include:</w:t>
      </w:r>
    </w:p>
    <w:p w14:paraId="297834BE" w14:textId="77777777" w:rsidR="00314D31" w:rsidRDefault="00314D31" w:rsidP="006256DB">
      <w:pPr>
        <w:pStyle w:val="ListParagraph"/>
        <w:numPr>
          <w:ilvl w:val="0"/>
          <w:numId w:val="46"/>
        </w:numPr>
        <w:spacing w:after="0" w:line="240" w:lineRule="auto"/>
        <w:ind w:left="1440"/>
        <w:jc w:val="both"/>
      </w:pPr>
      <w:r>
        <w:t>Continuing trade throughout the course of measurable risk mitigation efforts.</w:t>
      </w:r>
    </w:p>
    <w:p w14:paraId="4807B480" w14:textId="77777777" w:rsidR="00314D31" w:rsidRDefault="00314D31" w:rsidP="006256DB">
      <w:pPr>
        <w:pStyle w:val="ListParagraph"/>
        <w:numPr>
          <w:ilvl w:val="0"/>
          <w:numId w:val="46"/>
        </w:numPr>
        <w:spacing w:after="0" w:line="240" w:lineRule="auto"/>
        <w:ind w:left="1440"/>
        <w:jc w:val="both"/>
      </w:pPr>
      <w:r>
        <w:t>Temporarily suspending trade while pursuing ongoing mitigation efforts.</w:t>
      </w:r>
    </w:p>
    <w:p w14:paraId="7FEF38F3" w14:textId="6AA47E78" w:rsidR="00314D31" w:rsidRDefault="00314D31" w:rsidP="006256DB">
      <w:pPr>
        <w:pStyle w:val="ListParagraph"/>
        <w:numPr>
          <w:ilvl w:val="0"/>
          <w:numId w:val="46"/>
        </w:numPr>
        <w:spacing w:after="0" w:line="240" w:lineRule="auto"/>
        <w:ind w:left="1440"/>
        <w:jc w:val="both"/>
      </w:pPr>
      <w:r>
        <w:t>Disengaging with a supplier in cases where mitigation appears not feasible or unacceptable.</w:t>
      </w:r>
    </w:p>
    <w:p w14:paraId="3B62F1B9" w14:textId="77777777" w:rsidR="00314D31" w:rsidRDefault="00314D31" w:rsidP="00314D31">
      <w:pPr>
        <w:pStyle w:val="ListParagraph"/>
        <w:spacing w:after="0" w:line="240" w:lineRule="auto"/>
        <w:ind w:left="1440"/>
        <w:jc w:val="both"/>
      </w:pPr>
    </w:p>
    <w:p w14:paraId="366169D3" w14:textId="53CC141F" w:rsidR="00D7402A" w:rsidRDefault="00D7402A" w:rsidP="006256DB">
      <w:pPr>
        <w:pStyle w:val="ListParagraph"/>
        <w:numPr>
          <w:ilvl w:val="0"/>
          <w:numId w:val="32"/>
        </w:numPr>
        <w:spacing w:after="0" w:line="240" w:lineRule="auto"/>
        <w:ind w:left="1080"/>
        <w:jc w:val="both"/>
      </w:pPr>
      <w:r>
        <w:t xml:space="preserve">Implement the risk management plan, monitor and track performance of risk mitigation, report back to senior management and consider suspension or discontinuation </w:t>
      </w:r>
      <w:r w:rsidR="0070255A">
        <w:t xml:space="preserve">of the business relationship with the supplier(s) </w:t>
      </w:r>
      <w:r>
        <w:t>afte</w:t>
      </w:r>
      <w:r w:rsidR="007170DA">
        <w:t>r failed attempts at mitigation.</w:t>
      </w:r>
    </w:p>
    <w:p w14:paraId="5DE0225E" w14:textId="77777777" w:rsidR="00314D31" w:rsidRDefault="00314D31" w:rsidP="00314D31">
      <w:pPr>
        <w:pStyle w:val="ListParagraph"/>
        <w:spacing w:after="0" w:line="240" w:lineRule="auto"/>
        <w:ind w:left="1080"/>
        <w:jc w:val="both"/>
      </w:pPr>
    </w:p>
    <w:p w14:paraId="38999E88" w14:textId="62202811" w:rsidR="00D7402A" w:rsidRDefault="00D7402A" w:rsidP="006256DB">
      <w:pPr>
        <w:pStyle w:val="ListParagraph"/>
        <w:numPr>
          <w:ilvl w:val="0"/>
          <w:numId w:val="32"/>
        </w:numPr>
        <w:spacing w:after="0" w:line="240" w:lineRule="auto"/>
        <w:ind w:left="1080"/>
        <w:jc w:val="both"/>
      </w:pPr>
      <w:r>
        <w:t>Undertake additi</w:t>
      </w:r>
      <w:r w:rsidR="00F16452">
        <w:t>onal fact and risk assessments</w:t>
      </w:r>
      <w:r w:rsidR="00314D31">
        <w:t>,</w:t>
      </w:r>
      <w:r w:rsidR="00F16452">
        <w:t xml:space="preserve"> </w:t>
      </w:r>
      <w:r>
        <w:t>as required.</w:t>
      </w:r>
    </w:p>
    <w:p w14:paraId="56694E45" w14:textId="77777777" w:rsidR="00B42294" w:rsidRDefault="00B42294" w:rsidP="00C21A33">
      <w:pPr>
        <w:spacing w:after="0" w:line="240" w:lineRule="auto"/>
        <w:jc w:val="both"/>
      </w:pPr>
    </w:p>
    <w:p w14:paraId="65CAD09E" w14:textId="7FF4F722" w:rsidR="003648DE" w:rsidRDefault="00D439D6" w:rsidP="00D439D6">
      <w:pPr>
        <w:pStyle w:val="Heading3"/>
        <w:ind w:left="360" w:hanging="360"/>
        <w:jc w:val="both"/>
      </w:pPr>
      <w:bookmarkStart w:id="32" w:name="_Toc450308529"/>
      <w:r>
        <w:t xml:space="preserve">3. </w:t>
      </w:r>
      <w:r>
        <w:tab/>
      </w:r>
      <w:r w:rsidR="003648DE">
        <w:t xml:space="preserve">OECD Due Diligence Guidance: Step 5 </w:t>
      </w:r>
      <w:r w:rsidR="00A02F23">
        <w:t>–</w:t>
      </w:r>
      <w:r w:rsidR="003648DE">
        <w:t xml:space="preserve"> </w:t>
      </w:r>
      <w:r w:rsidR="00A02F23">
        <w:t xml:space="preserve">Public </w:t>
      </w:r>
      <w:r w:rsidR="003648DE">
        <w:t>Reporting</w:t>
      </w:r>
      <w:bookmarkEnd w:id="32"/>
    </w:p>
    <w:p w14:paraId="39EC15EE" w14:textId="77777777" w:rsidR="00360B3C" w:rsidRDefault="00360B3C" w:rsidP="00C21A33">
      <w:pPr>
        <w:spacing w:after="0" w:line="240" w:lineRule="auto"/>
        <w:jc w:val="both"/>
      </w:pPr>
    </w:p>
    <w:p w14:paraId="206E0011" w14:textId="0CB60D5F" w:rsidR="006E0D56" w:rsidRDefault="009938BB" w:rsidP="00C21A33">
      <w:pPr>
        <w:spacing w:after="0" w:line="240" w:lineRule="auto"/>
        <w:jc w:val="both"/>
      </w:pPr>
      <w:r>
        <w:t xml:space="preserve">Smelters </w:t>
      </w:r>
      <w:r w:rsidR="00126A1D">
        <w:t>shall</w:t>
      </w:r>
      <w:r w:rsidR="006E0D56">
        <w:t xml:space="preserve"> publicly disclose information on their due diligence. Information shall be published directly by the smelter </w:t>
      </w:r>
      <w:r w:rsidR="00117435">
        <w:t xml:space="preserve">as a mandatory requirement for any smelter participating in the program. </w:t>
      </w:r>
      <w:r w:rsidR="00F50384">
        <w:t xml:space="preserve">Publication of </w:t>
      </w:r>
      <w:r w:rsidR="008F2CAC">
        <w:t xml:space="preserve">such </w:t>
      </w:r>
      <w:r w:rsidR="00F50384">
        <w:t xml:space="preserve">information shall take due regard </w:t>
      </w:r>
      <w:r w:rsidR="00F50384" w:rsidRPr="00F50384">
        <w:t>to business confidentiality and other competitive concerns.</w:t>
      </w:r>
    </w:p>
    <w:p w14:paraId="334237D3" w14:textId="77777777" w:rsidR="00360B3C" w:rsidRDefault="00360B3C" w:rsidP="00C21A33">
      <w:pPr>
        <w:spacing w:after="0" w:line="240" w:lineRule="auto"/>
        <w:jc w:val="both"/>
      </w:pPr>
    </w:p>
    <w:p w14:paraId="22674E27" w14:textId="58B269C5" w:rsidR="00117435" w:rsidRDefault="00117435" w:rsidP="00C21A33">
      <w:pPr>
        <w:spacing w:after="0" w:line="240" w:lineRule="auto"/>
        <w:jc w:val="both"/>
      </w:pPr>
      <w:r>
        <w:t>The following table outlines the type of information and publication method to be applied by the smelter:</w:t>
      </w:r>
    </w:p>
    <w:p w14:paraId="3D5689F7" w14:textId="77777777" w:rsidR="00360B3C" w:rsidRDefault="00360B3C" w:rsidP="00C21A33">
      <w:pPr>
        <w:spacing w:after="0" w:line="240" w:lineRule="auto"/>
        <w:jc w:val="both"/>
      </w:pPr>
    </w:p>
    <w:p w14:paraId="7A2E7D24" w14:textId="2CC9BCD8" w:rsidR="00325EBC" w:rsidRDefault="00325EBC" w:rsidP="008F2CAC">
      <w:pPr>
        <w:pStyle w:val="Caption"/>
        <w:spacing w:after="0"/>
        <w:ind w:firstLine="720"/>
      </w:pPr>
      <w:r>
        <w:t xml:space="preserve">Table </w:t>
      </w:r>
      <w:r w:rsidR="00AA4FD9">
        <w:t>4</w:t>
      </w:r>
      <w:r>
        <w:t>: Publication requirements</w:t>
      </w:r>
    </w:p>
    <w:tbl>
      <w:tblPr>
        <w:tblStyle w:val="TableGrid"/>
        <w:tblW w:w="0" w:type="auto"/>
        <w:jc w:val="center"/>
        <w:tblLook w:val="04A0" w:firstRow="1" w:lastRow="0" w:firstColumn="1" w:lastColumn="0" w:noHBand="0" w:noVBand="1"/>
      </w:tblPr>
      <w:tblGrid>
        <w:gridCol w:w="3120"/>
        <w:gridCol w:w="2394"/>
        <w:gridCol w:w="2394"/>
      </w:tblGrid>
      <w:tr w:rsidR="008F2CAC" w:rsidRPr="008F02A0" w14:paraId="405FC94F" w14:textId="77777777" w:rsidTr="008F2CAC">
        <w:trPr>
          <w:jc w:val="center"/>
        </w:trPr>
        <w:tc>
          <w:tcPr>
            <w:tcW w:w="3120" w:type="dxa"/>
            <w:vMerge w:val="restart"/>
            <w:vAlign w:val="center"/>
          </w:tcPr>
          <w:p w14:paraId="2D18988E" w14:textId="42E1E726" w:rsidR="008F2CAC" w:rsidRPr="00BF5128" w:rsidRDefault="008F2CAC" w:rsidP="008F2CAC">
            <w:pPr>
              <w:jc w:val="center"/>
              <w:rPr>
                <w:b/>
              </w:rPr>
            </w:pPr>
            <w:r w:rsidRPr="00BF5128">
              <w:rPr>
                <w:b/>
              </w:rPr>
              <w:t>Published by the Smelter</w:t>
            </w:r>
            <w:r>
              <w:rPr>
                <w:rStyle w:val="FootnoteReference"/>
                <w:b/>
              </w:rPr>
              <w:footnoteReference w:id="9"/>
            </w:r>
          </w:p>
        </w:tc>
        <w:tc>
          <w:tcPr>
            <w:tcW w:w="4788" w:type="dxa"/>
            <w:gridSpan w:val="2"/>
            <w:vAlign w:val="center"/>
          </w:tcPr>
          <w:p w14:paraId="7D97B74C" w14:textId="7236B6DA" w:rsidR="008F2CAC" w:rsidRPr="00BF5128" w:rsidRDefault="008F2CAC" w:rsidP="008F2CAC">
            <w:pPr>
              <w:jc w:val="center"/>
              <w:rPr>
                <w:b/>
              </w:rPr>
            </w:pPr>
            <w:r w:rsidRPr="00BF5128">
              <w:rPr>
                <w:b/>
              </w:rPr>
              <w:t>Published by the CFSI</w:t>
            </w:r>
          </w:p>
        </w:tc>
      </w:tr>
      <w:tr w:rsidR="008F2CAC" w:rsidRPr="005E2E1C" w14:paraId="7478F96A" w14:textId="77777777" w:rsidTr="008F2CAC">
        <w:trPr>
          <w:jc w:val="center"/>
        </w:trPr>
        <w:tc>
          <w:tcPr>
            <w:tcW w:w="3120" w:type="dxa"/>
            <w:vMerge/>
            <w:vAlign w:val="center"/>
          </w:tcPr>
          <w:p w14:paraId="54D95791" w14:textId="77777777" w:rsidR="008F2CAC" w:rsidRPr="00BF5128" w:rsidRDefault="008F2CAC" w:rsidP="008F2CAC">
            <w:pPr>
              <w:contextualSpacing/>
              <w:jc w:val="center"/>
              <w:rPr>
                <w:b/>
              </w:rPr>
            </w:pPr>
          </w:p>
        </w:tc>
        <w:tc>
          <w:tcPr>
            <w:tcW w:w="2394" w:type="dxa"/>
            <w:vAlign w:val="center"/>
          </w:tcPr>
          <w:p w14:paraId="31012B78" w14:textId="7FEF3D95" w:rsidR="008F2CAC" w:rsidRPr="00BF5128" w:rsidRDefault="008F2CAC" w:rsidP="008F2CAC">
            <w:pPr>
              <w:jc w:val="center"/>
              <w:rPr>
                <w:b/>
              </w:rPr>
            </w:pPr>
            <w:r>
              <w:rPr>
                <w:b/>
              </w:rPr>
              <w:t>CFSI Members Only</w:t>
            </w:r>
          </w:p>
        </w:tc>
        <w:tc>
          <w:tcPr>
            <w:tcW w:w="2394" w:type="dxa"/>
            <w:vAlign w:val="center"/>
          </w:tcPr>
          <w:p w14:paraId="14ED739D" w14:textId="18E493CB" w:rsidR="008F2CAC" w:rsidRPr="00BF5128" w:rsidRDefault="008F2CAC" w:rsidP="008F2CAC">
            <w:pPr>
              <w:jc w:val="center"/>
              <w:rPr>
                <w:b/>
              </w:rPr>
            </w:pPr>
            <w:r w:rsidRPr="00BF5128">
              <w:rPr>
                <w:b/>
              </w:rPr>
              <w:t>Public</w:t>
            </w:r>
          </w:p>
        </w:tc>
      </w:tr>
      <w:tr w:rsidR="008F2CAC" w14:paraId="53FCF5CB" w14:textId="77777777" w:rsidTr="008F2CAC">
        <w:trPr>
          <w:trHeight w:val="3086"/>
          <w:jc w:val="center"/>
        </w:trPr>
        <w:tc>
          <w:tcPr>
            <w:tcW w:w="3120" w:type="dxa"/>
            <w:vAlign w:val="center"/>
          </w:tcPr>
          <w:p w14:paraId="49C475B3" w14:textId="4F2E4FCE" w:rsidR="008F2CAC" w:rsidRDefault="008F2CAC" w:rsidP="006256DB">
            <w:pPr>
              <w:pStyle w:val="ListParagraph"/>
              <w:numPr>
                <w:ilvl w:val="0"/>
                <w:numId w:val="48"/>
              </w:numPr>
              <w:ind w:left="360"/>
            </w:pPr>
            <w:r>
              <w:lastRenderedPageBreak/>
              <w:t>Conflict Minerals Policy</w:t>
            </w:r>
          </w:p>
          <w:p w14:paraId="5662EE45" w14:textId="35D94381" w:rsidR="008F2CAC" w:rsidRDefault="008F2CAC" w:rsidP="006256DB">
            <w:pPr>
              <w:pStyle w:val="ListParagraph"/>
              <w:numPr>
                <w:ilvl w:val="0"/>
                <w:numId w:val="48"/>
              </w:numPr>
              <w:ind w:left="360"/>
            </w:pPr>
            <w:r>
              <w:t>CFSP Summary Audit Report</w:t>
            </w:r>
          </w:p>
          <w:p w14:paraId="48FCC7B0" w14:textId="3074142B" w:rsidR="008F2CAC" w:rsidRDefault="008F2CAC" w:rsidP="008F2CAC"/>
        </w:tc>
        <w:tc>
          <w:tcPr>
            <w:tcW w:w="2394" w:type="dxa"/>
            <w:vAlign w:val="center"/>
          </w:tcPr>
          <w:p w14:paraId="189DB84E" w14:textId="77777777" w:rsidR="008F2CAC" w:rsidRDefault="008F2CAC" w:rsidP="008F2CAC">
            <w:r>
              <w:t>Aggregated Country of Origin Information:</w:t>
            </w:r>
          </w:p>
          <w:p w14:paraId="626235D5" w14:textId="77777777" w:rsidR="008F2CAC" w:rsidRDefault="008F2CAC" w:rsidP="006256DB">
            <w:pPr>
              <w:pStyle w:val="ListParagraph"/>
              <w:numPr>
                <w:ilvl w:val="0"/>
                <w:numId w:val="47"/>
              </w:numPr>
              <w:ind w:left="480"/>
            </w:pPr>
            <w:r>
              <w:t>Level 1</w:t>
            </w:r>
          </w:p>
          <w:p w14:paraId="45BAF5CB" w14:textId="77777777" w:rsidR="008F2CAC" w:rsidRDefault="008F2CAC" w:rsidP="006256DB">
            <w:pPr>
              <w:pStyle w:val="ListParagraph"/>
              <w:numPr>
                <w:ilvl w:val="0"/>
                <w:numId w:val="47"/>
              </w:numPr>
              <w:ind w:left="480"/>
            </w:pPr>
            <w:r>
              <w:t>Level 2</w:t>
            </w:r>
          </w:p>
          <w:p w14:paraId="6BDBBE34" w14:textId="309A84FD" w:rsidR="008F2CAC" w:rsidRDefault="008F2CAC" w:rsidP="006256DB">
            <w:pPr>
              <w:pStyle w:val="ListParagraph"/>
              <w:numPr>
                <w:ilvl w:val="0"/>
                <w:numId w:val="47"/>
              </w:numPr>
              <w:ind w:left="480"/>
            </w:pPr>
            <w:r>
              <w:t>Level 3</w:t>
            </w:r>
          </w:p>
          <w:p w14:paraId="0DDD0021" w14:textId="77777777" w:rsidR="008F2CAC" w:rsidRDefault="008F2CAC" w:rsidP="006256DB">
            <w:pPr>
              <w:pStyle w:val="ListParagraph"/>
              <w:numPr>
                <w:ilvl w:val="0"/>
                <w:numId w:val="47"/>
              </w:numPr>
              <w:ind w:left="480"/>
            </w:pPr>
            <w:r>
              <w:t>DRC</w:t>
            </w:r>
          </w:p>
          <w:p w14:paraId="62075A73" w14:textId="77777777" w:rsidR="008F2CAC" w:rsidRDefault="008F2CAC" w:rsidP="006256DB">
            <w:pPr>
              <w:pStyle w:val="ListParagraph"/>
              <w:numPr>
                <w:ilvl w:val="0"/>
                <w:numId w:val="47"/>
              </w:numPr>
              <w:ind w:left="480"/>
            </w:pPr>
            <w:r>
              <w:t>Other CAHRA</w:t>
            </w:r>
          </w:p>
          <w:p w14:paraId="24858501" w14:textId="28FB9090" w:rsidR="008F2CAC" w:rsidRDefault="008F2CAC" w:rsidP="006256DB">
            <w:pPr>
              <w:pStyle w:val="ListParagraph"/>
              <w:numPr>
                <w:ilvl w:val="0"/>
                <w:numId w:val="47"/>
              </w:numPr>
              <w:ind w:left="480"/>
            </w:pPr>
            <w:r>
              <w:t>Recycle/Scrap</w:t>
            </w:r>
          </w:p>
        </w:tc>
        <w:tc>
          <w:tcPr>
            <w:tcW w:w="2394" w:type="dxa"/>
            <w:vAlign w:val="center"/>
          </w:tcPr>
          <w:p w14:paraId="4F0BC3B2" w14:textId="06B74F91" w:rsidR="008F2CAC" w:rsidRDefault="008F2CAC" w:rsidP="006256DB">
            <w:pPr>
              <w:pStyle w:val="ListParagraph"/>
              <w:numPr>
                <w:ilvl w:val="0"/>
                <w:numId w:val="47"/>
              </w:numPr>
              <w:ind w:left="452"/>
            </w:pPr>
            <w:r>
              <w:t>Smelter ID number</w:t>
            </w:r>
          </w:p>
          <w:p w14:paraId="51E4BFAE" w14:textId="291977F9" w:rsidR="008F2CAC" w:rsidRDefault="008F2CAC" w:rsidP="006256DB">
            <w:pPr>
              <w:pStyle w:val="ListParagraph"/>
              <w:numPr>
                <w:ilvl w:val="0"/>
                <w:numId w:val="47"/>
              </w:numPr>
              <w:ind w:left="452"/>
            </w:pPr>
            <w:r>
              <w:t>Smelter Name</w:t>
            </w:r>
          </w:p>
          <w:p w14:paraId="3E2BE449" w14:textId="081072F5" w:rsidR="008F2CAC" w:rsidRDefault="008F2CAC" w:rsidP="006256DB">
            <w:pPr>
              <w:pStyle w:val="ListParagraph"/>
              <w:numPr>
                <w:ilvl w:val="0"/>
                <w:numId w:val="47"/>
              </w:numPr>
              <w:ind w:left="452"/>
            </w:pPr>
            <w:r>
              <w:t>Country</w:t>
            </w:r>
          </w:p>
          <w:p w14:paraId="504E0C88" w14:textId="77AA1AF3" w:rsidR="008F2CAC" w:rsidRDefault="008F2CAC" w:rsidP="006256DB">
            <w:pPr>
              <w:pStyle w:val="ListParagraph"/>
              <w:numPr>
                <w:ilvl w:val="0"/>
                <w:numId w:val="47"/>
              </w:numPr>
              <w:ind w:left="452"/>
            </w:pPr>
            <w:r>
              <w:t>Group Company Name</w:t>
            </w:r>
          </w:p>
          <w:p w14:paraId="59695E47" w14:textId="6C23B217" w:rsidR="008F2CAC" w:rsidRDefault="008F2CAC" w:rsidP="006256DB">
            <w:pPr>
              <w:pStyle w:val="ListParagraph"/>
              <w:numPr>
                <w:ilvl w:val="0"/>
                <w:numId w:val="47"/>
              </w:numPr>
              <w:ind w:left="452"/>
            </w:pPr>
            <w:r>
              <w:t>Compliance Status</w:t>
            </w:r>
          </w:p>
          <w:p w14:paraId="048703A4" w14:textId="3E47D232" w:rsidR="008F2CAC" w:rsidRDefault="008F2CAC" w:rsidP="006256DB">
            <w:pPr>
              <w:pStyle w:val="ListParagraph"/>
              <w:numPr>
                <w:ilvl w:val="0"/>
                <w:numId w:val="47"/>
              </w:numPr>
              <w:ind w:left="452"/>
            </w:pPr>
            <w:r>
              <w:t>Link to Conflict Minerals Policy</w:t>
            </w:r>
          </w:p>
          <w:p w14:paraId="314C3794" w14:textId="03C69611" w:rsidR="008F2CAC" w:rsidRDefault="008F2CAC" w:rsidP="006256DB">
            <w:pPr>
              <w:pStyle w:val="ListParagraph"/>
              <w:numPr>
                <w:ilvl w:val="0"/>
                <w:numId w:val="47"/>
              </w:numPr>
              <w:ind w:left="452"/>
            </w:pPr>
            <w:r>
              <w:t>Link to CFSP Audit Summary Report</w:t>
            </w:r>
          </w:p>
        </w:tc>
      </w:tr>
    </w:tbl>
    <w:p w14:paraId="0F9F7D58" w14:textId="77777777" w:rsidR="00E90ECF" w:rsidRDefault="00E90ECF" w:rsidP="00E90ECF">
      <w:pPr>
        <w:pStyle w:val="Heading1"/>
        <w:numPr>
          <w:ilvl w:val="0"/>
          <w:numId w:val="0"/>
        </w:numPr>
        <w:ind w:left="720"/>
        <w:jc w:val="both"/>
      </w:pPr>
    </w:p>
    <w:p w14:paraId="09881C7C" w14:textId="45B96743" w:rsidR="00325EBC" w:rsidRDefault="00325EBC" w:rsidP="00C21A33">
      <w:pPr>
        <w:pStyle w:val="Heading1"/>
        <w:jc w:val="both"/>
      </w:pPr>
      <w:bookmarkStart w:id="33" w:name="_Toc450308530"/>
      <w:r>
        <w:t>Annexes</w:t>
      </w:r>
      <w:bookmarkEnd w:id="33"/>
    </w:p>
    <w:p w14:paraId="682198CE" w14:textId="77777777" w:rsidR="00E84EBB" w:rsidRDefault="00E84EBB" w:rsidP="00C21A33">
      <w:pPr>
        <w:pStyle w:val="Heading2"/>
        <w:numPr>
          <w:ilvl w:val="0"/>
          <w:numId w:val="0"/>
        </w:numPr>
        <w:spacing w:before="0"/>
        <w:jc w:val="both"/>
      </w:pPr>
      <w:bookmarkStart w:id="34" w:name="_Toc315084481"/>
    </w:p>
    <w:p w14:paraId="08AC6659" w14:textId="1449D958" w:rsidR="009A6217" w:rsidRDefault="00B94513" w:rsidP="00C21A33">
      <w:pPr>
        <w:pStyle w:val="Heading2"/>
        <w:numPr>
          <w:ilvl w:val="0"/>
          <w:numId w:val="0"/>
        </w:numPr>
        <w:spacing w:before="0"/>
        <w:jc w:val="both"/>
      </w:pPr>
      <w:bookmarkStart w:id="35" w:name="_Toc450308531"/>
      <w:r>
        <w:t>Annex I: Document Examples by Material T</w:t>
      </w:r>
      <w:r w:rsidR="009A6217">
        <w:t>ype</w:t>
      </w:r>
      <w:bookmarkEnd w:id="34"/>
      <w:bookmarkEnd w:id="35"/>
    </w:p>
    <w:p w14:paraId="01A411BF" w14:textId="77777777" w:rsidR="009A6217" w:rsidRDefault="009A6217" w:rsidP="00C21A33">
      <w:pPr>
        <w:spacing w:after="0" w:line="240" w:lineRule="auto"/>
        <w:jc w:val="both"/>
      </w:pPr>
    </w:p>
    <w:p w14:paraId="4486E6FD" w14:textId="2866436E" w:rsidR="00B94513" w:rsidRDefault="00B94513" w:rsidP="006256DB">
      <w:pPr>
        <w:pStyle w:val="Heading3"/>
        <w:numPr>
          <w:ilvl w:val="0"/>
          <w:numId w:val="49"/>
        </w:numPr>
      </w:pPr>
      <w:bookmarkStart w:id="36" w:name="_Toc450308532"/>
      <w:r>
        <w:t>Mined Materials</w:t>
      </w:r>
      <w:bookmarkEnd w:id="36"/>
    </w:p>
    <w:p w14:paraId="4AF217C6" w14:textId="77777777" w:rsidR="00B94513" w:rsidRDefault="00B94513" w:rsidP="00C21A33">
      <w:pPr>
        <w:spacing w:after="0" w:line="240" w:lineRule="auto"/>
        <w:jc w:val="both"/>
      </w:pPr>
    </w:p>
    <w:p w14:paraId="54364E21" w14:textId="37759318" w:rsidR="000247BC" w:rsidRDefault="00A91A27" w:rsidP="00C21A33">
      <w:pPr>
        <w:pStyle w:val="Caption"/>
        <w:spacing w:after="0"/>
        <w:jc w:val="both"/>
      </w:pPr>
      <w:r>
        <w:t>Table</w:t>
      </w:r>
      <w:r w:rsidR="00B94513">
        <w:t xml:space="preserve"> 5</w:t>
      </w:r>
      <w:r>
        <w:t xml:space="preserve">: </w:t>
      </w:r>
      <w:r w:rsidR="00B94513">
        <w:t>Mined Material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516"/>
        <w:gridCol w:w="1573"/>
        <w:gridCol w:w="4909"/>
      </w:tblGrid>
      <w:tr w:rsidR="00142224" w:rsidRPr="00716F58" w14:paraId="54AA5899" w14:textId="77777777" w:rsidTr="00113774">
        <w:trPr>
          <w:tblHeader/>
          <w:jc w:val="center"/>
        </w:trPr>
        <w:tc>
          <w:tcPr>
            <w:tcW w:w="1470" w:type="dxa"/>
            <w:shd w:val="clear" w:color="auto" w:fill="auto"/>
            <w:vAlign w:val="center"/>
          </w:tcPr>
          <w:p w14:paraId="42603875" w14:textId="6407F71D" w:rsidR="00142224" w:rsidRPr="00716F58" w:rsidRDefault="00142224" w:rsidP="002759E7">
            <w:pPr>
              <w:spacing w:after="0" w:line="240" w:lineRule="auto"/>
              <w:jc w:val="center"/>
              <w:rPr>
                <w:b/>
                <w:lang w:val="en-GB"/>
              </w:rPr>
            </w:pPr>
            <w:r>
              <w:rPr>
                <w:b/>
                <w:lang w:val="en-GB"/>
              </w:rPr>
              <w:t>M</w:t>
            </w:r>
            <w:r w:rsidRPr="00716F58">
              <w:rPr>
                <w:b/>
                <w:lang w:val="en-GB"/>
              </w:rPr>
              <w:t>aterial Type</w:t>
            </w:r>
          </w:p>
        </w:tc>
        <w:tc>
          <w:tcPr>
            <w:tcW w:w="1516" w:type="dxa"/>
            <w:shd w:val="clear" w:color="auto" w:fill="auto"/>
            <w:vAlign w:val="center"/>
          </w:tcPr>
          <w:p w14:paraId="0062ACA3" w14:textId="77777777" w:rsidR="00142224" w:rsidRPr="00716F58" w:rsidRDefault="00142224" w:rsidP="002759E7">
            <w:pPr>
              <w:spacing w:after="0" w:line="240" w:lineRule="auto"/>
              <w:jc w:val="center"/>
              <w:rPr>
                <w:b/>
                <w:lang w:val="en-GB"/>
              </w:rPr>
            </w:pPr>
            <w:r w:rsidRPr="00716F58">
              <w:rPr>
                <w:b/>
                <w:lang w:val="en-GB"/>
              </w:rPr>
              <w:t>Expectation</w:t>
            </w:r>
          </w:p>
        </w:tc>
        <w:tc>
          <w:tcPr>
            <w:tcW w:w="6482" w:type="dxa"/>
            <w:gridSpan w:val="2"/>
          </w:tcPr>
          <w:p w14:paraId="64858B4E" w14:textId="3676577A" w:rsidR="00142224" w:rsidRPr="00716F58" w:rsidRDefault="00142224" w:rsidP="002759E7">
            <w:pPr>
              <w:spacing w:after="0" w:line="240" w:lineRule="auto"/>
              <w:jc w:val="center"/>
              <w:rPr>
                <w:b/>
                <w:lang w:val="en-GB"/>
              </w:rPr>
            </w:pPr>
            <w:r w:rsidRPr="00716F58">
              <w:rPr>
                <w:b/>
                <w:lang w:val="en-GB"/>
              </w:rPr>
              <w:t>Example Document Types</w:t>
            </w:r>
          </w:p>
          <w:p w14:paraId="723E21FA" w14:textId="77777777" w:rsidR="00142224" w:rsidRPr="00716F58" w:rsidRDefault="00142224" w:rsidP="002759E7">
            <w:pPr>
              <w:spacing w:after="0" w:line="240" w:lineRule="auto"/>
              <w:jc w:val="center"/>
              <w:rPr>
                <w:b/>
                <w:lang w:val="en-GB"/>
              </w:rPr>
            </w:pPr>
            <w:r w:rsidRPr="00716F58">
              <w:rPr>
                <w:b/>
                <w:lang w:val="en-GB"/>
              </w:rPr>
              <w:t>(Not every document is necessary)</w:t>
            </w:r>
          </w:p>
        </w:tc>
      </w:tr>
      <w:tr w:rsidR="00142224" w:rsidRPr="00716F58" w14:paraId="0967F212" w14:textId="77777777" w:rsidTr="00113774">
        <w:trPr>
          <w:jc w:val="center"/>
        </w:trPr>
        <w:tc>
          <w:tcPr>
            <w:tcW w:w="1470" w:type="dxa"/>
            <w:vMerge w:val="restart"/>
            <w:vAlign w:val="center"/>
          </w:tcPr>
          <w:p w14:paraId="2615CB43" w14:textId="4F846CB6" w:rsidR="00142224" w:rsidRPr="00716F58" w:rsidRDefault="00142224" w:rsidP="00B94513">
            <w:pPr>
              <w:spacing w:after="0" w:line="240" w:lineRule="auto"/>
              <w:rPr>
                <w:lang w:val="en-GB"/>
              </w:rPr>
            </w:pPr>
            <w:r>
              <w:rPr>
                <w:lang w:val="en-GB"/>
              </w:rPr>
              <w:t xml:space="preserve">Mined Materials </w:t>
            </w:r>
            <w:r w:rsidRPr="00716F58">
              <w:rPr>
                <w:lang w:val="en-GB"/>
              </w:rPr>
              <w:t>L1</w:t>
            </w:r>
          </w:p>
        </w:tc>
        <w:tc>
          <w:tcPr>
            <w:tcW w:w="1516" w:type="dxa"/>
            <w:vAlign w:val="center"/>
          </w:tcPr>
          <w:p w14:paraId="2D238F79" w14:textId="77777777" w:rsidR="00142224" w:rsidRPr="00716F58" w:rsidRDefault="00142224" w:rsidP="00B94513">
            <w:pPr>
              <w:spacing w:after="0" w:line="240" w:lineRule="auto"/>
              <w:rPr>
                <w:lang w:val="en-GB"/>
              </w:rPr>
            </w:pPr>
            <w:r w:rsidRPr="00716F58">
              <w:rPr>
                <w:lang w:val="en-GB"/>
              </w:rPr>
              <w:t>Source</w:t>
            </w:r>
          </w:p>
        </w:tc>
        <w:tc>
          <w:tcPr>
            <w:tcW w:w="6482" w:type="dxa"/>
            <w:gridSpan w:val="2"/>
          </w:tcPr>
          <w:p w14:paraId="4843EF65" w14:textId="1EFB1AEA" w:rsidR="00142224" w:rsidRPr="00716F58" w:rsidRDefault="00142224" w:rsidP="006256DB">
            <w:pPr>
              <w:numPr>
                <w:ilvl w:val="0"/>
                <w:numId w:val="21"/>
              </w:numPr>
              <w:spacing w:after="0" w:line="240" w:lineRule="auto"/>
              <w:ind w:left="349"/>
            </w:pPr>
            <w:r w:rsidRPr="00716F58">
              <w:rPr>
                <w:lang w:val="en-GB"/>
              </w:rPr>
              <w:t>Customs export record</w:t>
            </w:r>
          </w:p>
          <w:p w14:paraId="7143D8BE" w14:textId="05FB61AE" w:rsidR="00142224" w:rsidRPr="00716F58" w:rsidRDefault="00142224" w:rsidP="006256DB">
            <w:pPr>
              <w:numPr>
                <w:ilvl w:val="0"/>
                <w:numId w:val="21"/>
              </w:numPr>
              <w:spacing w:after="0" w:line="240" w:lineRule="auto"/>
              <w:ind w:left="349"/>
            </w:pPr>
            <w:r w:rsidRPr="00716F58">
              <w:rPr>
                <w:lang w:val="en-GB"/>
              </w:rPr>
              <w:t>Official (</w:t>
            </w:r>
            <w:r>
              <w:rPr>
                <w:lang w:val="en-GB"/>
              </w:rPr>
              <w:t>e.g.,,</w:t>
            </w:r>
            <w:r w:rsidRPr="00716F58">
              <w:rPr>
                <w:lang w:val="en-GB"/>
              </w:rPr>
              <w:t xml:space="preserve"> government) issued country of origin certificate</w:t>
            </w:r>
          </w:p>
          <w:p w14:paraId="52DEF62C" w14:textId="608F14C4" w:rsidR="00142224" w:rsidRPr="00716F58" w:rsidRDefault="00142224" w:rsidP="006256DB">
            <w:pPr>
              <w:numPr>
                <w:ilvl w:val="0"/>
                <w:numId w:val="21"/>
              </w:numPr>
              <w:spacing w:after="0" w:line="240" w:lineRule="auto"/>
              <w:ind w:left="349"/>
            </w:pPr>
            <w:r w:rsidRPr="00716F58">
              <w:rPr>
                <w:lang w:val="en-GB"/>
              </w:rPr>
              <w:t>Official (</w:t>
            </w:r>
            <w:r>
              <w:rPr>
                <w:lang w:val="en-GB"/>
              </w:rPr>
              <w:t>e.g.,</w:t>
            </w:r>
            <w:r w:rsidRPr="00716F58">
              <w:rPr>
                <w:lang w:val="en-GB"/>
              </w:rPr>
              <w:t xml:space="preserve"> government) issued mine license </w:t>
            </w:r>
          </w:p>
          <w:p w14:paraId="4E96C748" w14:textId="77777777" w:rsidR="00142224" w:rsidRPr="00716F58" w:rsidRDefault="00142224" w:rsidP="006256DB">
            <w:pPr>
              <w:numPr>
                <w:ilvl w:val="0"/>
                <w:numId w:val="21"/>
              </w:numPr>
              <w:spacing w:after="0" w:line="240" w:lineRule="auto"/>
              <w:ind w:left="349"/>
            </w:pPr>
            <w:r w:rsidRPr="00716F58">
              <w:rPr>
                <w:lang w:val="en-GB"/>
              </w:rPr>
              <w:t>Purchase or other contract showing mine name</w:t>
            </w:r>
          </w:p>
        </w:tc>
      </w:tr>
      <w:tr w:rsidR="00142224" w:rsidRPr="00716F58" w14:paraId="67A9F835" w14:textId="77777777" w:rsidTr="00113774">
        <w:trPr>
          <w:jc w:val="center"/>
        </w:trPr>
        <w:tc>
          <w:tcPr>
            <w:tcW w:w="1470" w:type="dxa"/>
            <w:vMerge/>
            <w:vAlign w:val="center"/>
          </w:tcPr>
          <w:p w14:paraId="73BE5901" w14:textId="77777777" w:rsidR="00142224" w:rsidRPr="00716F58" w:rsidRDefault="00142224" w:rsidP="00B94513">
            <w:pPr>
              <w:spacing w:after="0" w:line="240" w:lineRule="auto"/>
              <w:rPr>
                <w:lang w:val="en-GB"/>
              </w:rPr>
            </w:pPr>
          </w:p>
        </w:tc>
        <w:tc>
          <w:tcPr>
            <w:tcW w:w="1516" w:type="dxa"/>
            <w:vAlign w:val="center"/>
          </w:tcPr>
          <w:p w14:paraId="68696B9B" w14:textId="77777777" w:rsidR="00142224" w:rsidRPr="00716F58" w:rsidRDefault="00142224" w:rsidP="00B94513">
            <w:pPr>
              <w:spacing w:after="0" w:line="240" w:lineRule="auto"/>
              <w:rPr>
                <w:lang w:val="en-GB"/>
              </w:rPr>
            </w:pPr>
            <w:r w:rsidRPr="00716F58">
              <w:rPr>
                <w:lang w:val="en-GB"/>
              </w:rPr>
              <w:t>Transport (domestic)</w:t>
            </w:r>
          </w:p>
        </w:tc>
        <w:tc>
          <w:tcPr>
            <w:tcW w:w="6482" w:type="dxa"/>
            <w:gridSpan w:val="2"/>
          </w:tcPr>
          <w:p w14:paraId="7FD95804" w14:textId="2EA2FC71" w:rsidR="00142224" w:rsidRDefault="00142224" w:rsidP="00B94513">
            <w:pPr>
              <w:spacing w:after="0" w:line="240" w:lineRule="auto"/>
              <w:rPr>
                <w:rFonts w:cs="Calibri"/>
                <w:lang w:val="en-GB" w:eastAsia="en-GB"/>
              </w:rPr>
            </w:pPr>
            <w:r w:rsidRPr="00F12980">
              <w:rPr>
                <w:rFonts w:cs="Calibri"/>
                <w:lang w:val="en-GB" w:eastAsia="en-GB"/>
              </w:rPr>
              <w:t xml:space="preserve">Transportation documents must include, at a minimum, the following data points: </w:t>
            </w:r>
          </w:p>
          <w:p w14:paraId="1CC146E1" w14:textId="77777777" w:rsidR="00142224" w:rsidRPr="00F12980" w:rsidRDefault="00142224" w:rsidP="00B94513">
            <w:pPr>
              <w:spacing w:after="0" w:line="240" w:lineRule="auto"/>
              <w:rPr>
                <w:rFonts w:cs="Calibri"/>
                <w:lang w:val="en-GB" w:eastAsia="en-GB"/>
              </w:rPr>
            </w:pPr>
          </w:p>
          <w:p w14:paraId="50129A0C" w14:textId="77777777" w:rsidR="00142224" w:rsidRDefault="00142224" w:rsidP="00B94513">
            <w:pPr>
              <w:spacing w:after="0" w:line="240" w:lineRule="auto"/>
              <w:rPr>
                <w:rFonts w:cs="Calibri"/>
                <w:lang w:val="en-GB" w:eastAsia="en-GB"/>
              </w:rPr>
            </w:pPr>
            <w:r w:rsidRPr="00F12980">
              <w:rPr>
                <w:rFonts w:cs="Calibri"/>
                <w:lang w:val="en-GB" w:eastAsia="en-GB"/>
              </w:rPr>
              <w:t xml:space="preserve">Physical location of origin of the shipment; physical location of final destination of the shipment, description of the material (type and weight) and date of physical transportation of the material. </w:t>
            </w:r>
          </w:p>
          <w:p w14:paraId="3DC8DBE9" w14:textId="77777777" w:rsidR="00142224" w:rsidRPr="00F12980" w:rsidRDefault="00142224" w:rsidP="00B94513">
            <w:pPr>
              <w:spacing w:after="0" w:line="240" w:lineRule="auto"/>
              <w:rPr>
                <w:rFonts w:cs="Calibri"/>
                <w:lang w:val="en-GB" w:eastAsia="en-GB"/>
              </w:rPr>
            </w:pPr>
          </w:p>
          <w:p w14:paraId="74AC9D4A" w14:textId="7217A79C" w:rsidR="00142224" w:rsidRPr="00F12980" w:rsidRDefault="00142224" w:rsidP="00B94513">
            <w:pPr>
              <w:spacing w:after="0" w:line="240" w:lineRule="auto"/>
              <w:rPr>
                <w:rFonts w:cs="Calibri"/>
                <w:lang w:val="en-GB" w:eastAsia="en-GB"/>
              </w:rPr>
            </w:pPr>
            <w:r w:rsidRPr="00F12980">
              <w:rPr>
                <w:rFonts w:cs="Calibri"/>
                <w:lang w:val="en-GB" w:eastAsia="en-GB"/>
              </w:rPr>
              <w:t xml:space="preserve">Subsequent documents are examples that may be used by the </w:t>
            </w:r>
            <w:r>
              <w:rPr>
                <w:rFonts w:cs="Calibri"/>
                <w:lang w:val="en-GB" w:eastAsia="en-GB"/>
              </w:rPr>
              <w:t>smelter</w:t>
            </w:r>
            <w:r w:rsidRPr="00F12980">
              <w:rPr>
                <w:rFonts w:cs="Calibri"/>
                <w:lang w:val="en-GB" w:eastAsia="en-GB"/>
              </w:rPr>
              <w:t xml:space="preserve"> to demonstrate the above data points:</w:t>
            </w:r>
          </w:p>
          <w:p w14:paraId="2F51F70C" w14:textId="77777777" w:rsidR="00142224" w:rsidRPr="00716F58" w:rsidRDefault="00142224" w:rsidP="006256DB">
            <w:pPr>
              <w:numPr>
                <w:ilvl w:val="0"/>
                <w:numId w:val="22"/>
              </w:numPr>
              <w:spacing w:after="0" w:line="240" w:lineRule="auto"/>
              <w:ind w:left="439"/>
            </w:pPr>
            <w:r w:rsidRPr="00716F58">
              <w:rPr>
                <w:lang w:val="en-GB"/>
              </w:rPr>
              <w:t>Trucking documentation or transportation logs</w:t>
            </w:r>
          </w:p>
          <w:p w14:paraId="767F43C0" w14:textId="77777777" w:rsidR="00142224" w:rsidRPr="00716F58" w:rsidRDefault="00142224" w:rsidP="006256DB">
            <w:pPr>
              <w:numPr>
                <w:ilvl w:val="0"/>
                <w:numId w:val="22"/>
              </w:numPr>
              <w:spacing w:after="0" w:line="240" w:lineRule="auto"/>
              <w:ind w:left="439"/>
            </w:pPr>
            <w:r w:rsidRPr="00716F58">
              <w:rPr>
                <w:lang w:val="en-GB"/>
              </w:rPr>
              <w:t>Warehouse receipts</w:t>
            </w:r>
          </w:p>
          <w:p w14:paraId="0B570607" w14:textId="77777777" w:rsidR="00142224" w:rsidRPr="00716F58" w:rsidRDefault="00142224" w:rsidP="006256DB">
            <w:pPr>
              <w:numPr>
                <w:ilvl w:val="0"/>
                <w:numId w:val="22"/>
              </w:numPr>
              <w:spacing w:after="0" w:line="240" w:lineRule="auto"/>
              <w:ind w:left="439"/>
            </w:pPr>
            <w:r w:rsidRPr="00716F58">
              <w:rPr>
                <w:lang w:val="en-GB"/>
              </w:rPr>
              <w:t>Contract showing transporter name</w:t>
            </w:r>
          </w:p>
          <w:p w14:paraId="248EF5F7" w14:textId="77777777" w:rsidR="00142224" w:rsidRPr="00716F58" w:rsidRDefault="00142224" w:rsidP="006256DB">
            <w:pPr>
              <w:numPr>
                <w:ilvl w:val="0"/>
                <w:numId w:val="22"/>
              </w:numPr>
              <w:spacing w:after="0" w:line="240" w:lineRule="auto"/>
              <w:ind w:left="439"/>
            </w:pPr>
            <w:r w:rsidRPr="00716F58">
              <w:rPr>
                <w:lang w:val="en-GB"/>
              </w:rPr>
              <w:t>Invoices from appointed transport agent</w:t>
            </w:r>
          </w:p>
          <w:p w14:paraId="1B7EB9C8" w14:textId="77777777" w:rsidR="00142224" w:rsidRPr="00716F58" w:rsidRDefault="00142224" w:rsidP="006256DB">
            <w:pPr>
              <w:numPr>
                <w:ilvl w:val="0"/>
                <w:numId w:val="22"/>
              </w:numPr>
              <w:spacing w:after="0" w:line="240" w:lineRule="auto"/>
              <w:ind w:left="439"/>
            </w:pPr>
            <w:r w:rsidRPr="00716F58">
              <w:rPr>
                <w:lang w:val="en-GB"/>
              </w:rPr>
              <w:t>License from appointed transport agent</w:t>
            </w:r>
          </w:p>
        </w:tc>
      </w:tr>
      <w:tr w:rsidR="00142224" w:rsidRPr="00716F58" w14:paraId="23225716" w14:textId="77777777" w:rsidTr="00113774">
        <w:trPr>
          <w:jc w:val="center"/>
        </w:trPr>
        <w:tc>
          <w:tcPr>
            <w:tcW w:w="1470" w:type="dxa"/>
            <w:vMerge/>
            <w:vAlign w:val="center"/>
          </w:tcPr>
          <w:p w14:paraId="7EA3FF30" w14:textId="77777777" w:rsidR="00142224" w:rsidRPr="00716F58" w:rsidRDefault="00142224" w:rsidP="00B94513">
            <w:pPr>
              <w:spacing w:after="0" w:line="240" w:lineRule="auto"/>
              <w:rPr>
                <w:lang w:val="en-GB"/>
              </w:rPr>
            </w:pPr>
          </w:p>
        </w:tc>
        <w:tc>
          <w:tcPr>
            <w:tcW w:w="1516" w:type="dxa"/>
            <w:vAlign w:val="center"/>
          </w:tcPr>
          <w:p w14:paraId="7481D0E4" w14:textId="77777777" w:rsidR="00142224" w:rsidRPr="00716F58" w:rsidRDefault="00142224" w:rsidP="00B94513">
            <w:pPr>
              <w:spacing w:after="0" w:line="240" w:lineRule="auto"/>
              <w:rPr>
                <w:lang w:val="en-GB"/>
              </w:rPr>
            </w:pPr>
            <w:r w:rsidRPr="00716F58">
              <w:rPr>
                <w:lang w:val="en-GB"/>
              </w:rPr>
              <w:t>Transport (international)</w:t>
            </w:r>
          </w:p>
        </w:tc>
        <w:tc>
          <w:tcPr>
            <w:tcW w:w="6482" w:type="dxa"/>
            <w:gridSpan w:val="2"/>
          </w:tcPr>
          <w:p w14:paraId="599F1E35" w14:textId="575B38FF" w:rsidR="00142224" w:rsidRDefault="00142224" w:rsidP="00B94513">
            <w:pPr>
              <w:spacing w:after="0" w:line="240" w:lineRule="auto"/>
              <w:rPr>
                <w:rFonts w:cs="Calibri"/>
                <w:lang w:val="en-GB" w:eastAsia="en-GB"/>
              </w:rPr>
            </w:pPr>
            <w:r w:rsidRPr="00F12980">
              <w:rPr>
                <w:rFonts w:cs="Calibri"/>
                <w:lang w:val="en-GB" w:eastAsia="en-GB"/>
              </w:rPr>
              <w:t xml:space="preserve">Transportation documents must include, at a minimum, the following data points: </w:t>
            </w:r>
          </w:p>
          <w:p w14:paraId="5DA95FFF" w14:textId="77777777" w:rsidR="00142224" w:rsidRPr="00F12980" w:rsidRDefault="00142224" w:rsidP="00B94513">
            <w:pPr>
              <w:spacing w:after="0" w:line="240" w:lineRule="auto"/>
              <w:rPr>
                <w:rFonts w:cs="Calibri"/>
                <w:lang w:val="en-GB" w:eastAsia="en-GB"/>
              </w:rPr>
            </w:pPr>
          </w:p>
          <w:p w14:paraId="4856B643" w14:textId="77777777" w:rsidR="00142224" w:rsidRDefault="00142224" w:rsidP="00B94513">
            <w:pPr>
              <w:spacing w:after="0" w:line="240" w:lineRule="auto"/>
              <w:rPr>
                <w:rFonts w:cs="Calibri"/>
                <w:lang w:val="en-GB" w:eastAsia="en-GB"/>
              </w:rPr>
            </w:pPr>
            <w:r w:rsidRPr="00F12980">
              <w:rPr>
                <w:rFonts w:cs="Calibri"/>
                <w:lang w:val="en-GB" w:eastAsia="en-GB"/>
              </w:rPr>
              <w:t xml:space="preserve">Physical location of origin of the shipment; physical location of final destination of the shipment, description of the material (type and weight) and date of physical transportation of the material. </w:t>
            </w:r>
          </w:p>
          <w:p w14:paraId="45D4981F" w14:textId="77777777" w:rsidR="00142224" w:rsidRPr="00F12980" w:rsidRDefault="00142224" w:rsidP="00B94513">
            <w:pPr>
              <w:spacing w:after="0" w:line="240" w:lineRule="auto"/>
              <w:rPr>
                <w:rFonts w:cs="Calibri"/>
                <w:lang w:val="en-GB" w:eastAsia="en-GB"/>
              </w:rPr>
            </w:pPr>
          </w:p>
          <w:p w14:paraId="419B0E78" w14:textId="7ED920D8" w:rsidR="00142224" w:rsidRPr="00F12980" w:rsidRDefault="00142224" w:rsidP="00B94513">
            <w:pPr>
              <w:spacing w:after="0" w:line="240" w:lineRule="auto"/>
              <w:rPr>
                <w:rFonts w:cs="Calibri"/>
                <w:lang w:val="en-GB" w:eastAsia="en-GB"/>
              </w:rPr>
            </w:pPr>
            <w:r w:rsidRPr="00F12980">
              <w:rPr>
                <w:rFonts w:cs="Calibri"/>
                <w:lang w:val="en-GB" w:eastAsia="en-GB"/>
              </w:rPr>
              <w:t xml:space="preserve">Subsequent documents are examples that may be used by the </w:t>
            </w:r>
            <w:r>
              <w:rPr>
                <w:rFonts w:cs="Calibri"/>
                <w:lang w:val="en-GB" w:eastAsia="en-GB"/>
              </w:rPr>
              <w:t>smelter</w:t>
            </w:r>
            <w:r w:rsidRPr="00F12980">
              <w:rPr>
                <w:rFonts w:cs="Calibri"/>
                <w:lang w:val="en-GB" w:eastAsia="en-GB"/>
              </w:rPr>
              <w:t xml:space="preserve"> to demonstrate the above data points:</w:t>
            </w:r>
          </w:p>
          <w:p w14:paraId="3337AFCB" w14:textId="77777777" w:rsidR="00142224" w:rsidRPr="00716F58" w:rsidRDefault="00142224" w:rsidP="006256DB">
            <w:pPr>
              <w:numPr>
                <w:ilvl w:val="0"/>
                <w:numId w:val="23"/>
              </w:numPr>
              <w:spacing w:after="0" w:line="240" w:lineRule="auto"/>
              <w:ind w:left="439"/>
            </w:pPr>
            <w:r w:rsidRPr="00716F58">
              <w:rPr>
                <w:lang w:val="en-GB"/>
              </w:rPr>
              <w:t>Inland forwarding note (</w:t>
            </w:r>
            <w:r>
              <w:rPr>
                <w:lang w:val="en-GB"/>
              </w:rPr>
              <w:t>for example,</w:t>
            </w:r>
            <w:r w:rsidRPr="00716F58">
              <w:rPr>
                <w:lang w:val="en-GB"/>
              </w:rPr>
              <w:t xml:space="preserve"> from warehouse to export city)</w:t>
            </w:r>
          </w:p>
          <w:p w14:paraId="7A5FC70C" w14:textId="77777777" w:rsidR="00142224" w:rsidRPr="00735E81" w:rsidRDefault="00142224" w:rsidP="006256DB">
            <w:pPr>
              <w:numPr>
                <w:ilvl w:val="0"/>
                <w:numId w:val="23"/>
              </w:numPr>
              <w:spacing w:after="0" w:line="240" w:lineRule="auto"/>
              <w:ind w:left="439"/>
            </w:pPr>
            <w:r w:rsidRPr="00716F58">
              <w:rPr>
                <w:lang w:val="en-GB"/>
              </w:rPr>
              <w:t>Bill of lading (by sea)</w:t>
            </w:r>
          </w:p>
          <w:p w14:paraId="4764226D" w14:textId="77777777" w:rsidR="00142224" w:rsidRPr="00716F58" w:rsidRDefault="00142224" w:rsidP="006256DB">
            <w:pPr>
              <w:numPr>
                <w:ilvl w:val="0"/>
                <w:numId w:val="23"/>
              </w:numPr>
              <w:spacing w:after="0" w:line="240" w:lineRule="auto"/>
              <w:ind w:left="439"/>
            </w:pPr>
            <w:r>
              <w:t>Through bill of lading</w:t>
            </w:r>
          </w:p>
          <w:p w14:paraId="67898E3B" w14:textId="77777777" w:rsidR="00142224" w:rsidRPr="00716F58" w:rsidRDefault="00142224" w:rsidP="006256DB">
            <w:pPr>
              <w:numPr>
                <w:ilvl w:val="0"/>
                <w:numId w:val="23"/>
              </w:numPr>
              <w:spacing w:after="0" w:line="240" w:lineRule="auto"/>
              <w:ind w:left="439"/>
            </w:pPr>
            <w:r w:rsidRPr="00716F58">
              <w:rPr>
                <w:lang w:val="en-GB"/>
              </w:rPr>
              <w:t>Customs import record (smelter</w:t>
            </w:r>
            <w:r>
              <w:rPr>
                <w:lang w:val="en-GB"/>
              </w:rPr>
              <w:t>’s</w:t>
            </w:r>
            <w:r w:rsidRPr="00716F58">
              <w:rPr>
                <w:lang w:val="en-GB"/>
              </w:rPr>
              <w:t xml:space="preserve"> country)</w:t>
            </w:r>
          </w:p>
        </w:tc>
      </w:tr>
      <w:tr w:rsidR="00543FDB" w:rsidRPr="00716F58" w14:paraId="06AA26ED" w14:textId="77777777" w:rsidTr="00113774">
        <w:trPr>
          <w:jc w:val="center"/>
        </w:trPr>
        <w:tc>
          <w:tcPr>
            <w:tcW w:w="1470" w:type="dxa"/>
            <w:vMerge w:val="restart"/>
            <w:vAlign w:val="center"/>
          </w:tcPr>
          <w:p w14:paraId="77739ED0" w14:textId="4F6B7C0F" w:rsidR="00543FDB" w:rsidRPr="00716F58" w:rsidRDefault="00543FDB" w:rsidP="00B94513">
            <w:pPr>
              <w:spacing w:after="0" w:line="240" w:lineRule="auto"/>
              <w:rPr>
                <w:lang w:val="en-GB"/>
              </w:rPr>
            </w:pPr>
            <w:r>
              <w:rPr>
                <w:lang w:val="en-GB"/>
              </w:rPr>
              <w:lastRenderedPageBreak/>
              <w:t xml:space="preserve">Mined Materials </w:t>
            </w:r>
            <w:r w:rsidRPr="00716F58">
              <w:rPr>
                <w:lang w:val="en-GB"/>
              </w:rPr>
              <w:t>L2</w:t>
            </w:r>
          </w:p>
        </w:tc>
        <w:tc>
          <w:tcPr>
            <w:tcW w:w="1516" w:type="dxa"/>
            <w:vMerge w:val="restart"/>
            <w:vAlign w:val="center"/>
          </w:tcPr>
          <w:p w14:paraId="29A077C4" w14:textId="3F6801C9" w:rsidR="00543FDB" w:rsidRPr="00716F58" w:rsidRDefault="00543FDB" w:rsidP="00B94513">
            <w:pPr>
              <w:spacing w:after="0" w:line="240" w:lineRule="auto"/>
              <w:rPr>
                <w:lang w:val="en-GB"/>
              </w:rPr>
            </w:pPr>
            <w:r>
              <w:rPr>
                <w:lang w:val="en-GB"/>
              </w:rPr>
              <w:t>OECD Conformant Process</w:t>
            </w:r>
          </w:p>
        </w:tc>
        <w:tc>
          <w:tcPr>
            <w:tcW w:w="6482" w:type="dxa"/>
            <w:gridSpan w:val="2"/>
          </w:tcPr>
          <w:p w14:paraId="36E30746" w14:textId="77777777" w:rsidR="00543FDB" w:rsidRPr="00543FDB" w:rsidRDefault="00543FDB" w:rsidP="0012326C">
            <w:pPr>
              <w:spacing w:after="0" w:line="240" w:lineRule="auto"/>
              <w:rPr>
                <w:rFonts w:asciiTheme="majorHAnsi" w:eastAsiaTheme="majorEastAsia" w:hAnsiTheme="majorHAnsi"/>
                <w:caps/>
                <w:color w:val="404040" w:themeColor="text1" w:themeTint="BF"/>
                <w:spacing w:val="-10"/>
                <w:sz w:val="72"/>
                <w:szCs w:val="72"/>
              </w:rPr>
            </w:pPr>
            <w:r w:rsidRPr="00F37DBE">
              <w:t>Records to demonstrate conformance</w:t>
            </w:r>
            <w:r>
              <w:t xml:space="preserve"> with requirements </w:t>
            </w:r>
            <w:r w:rsidRPr="00543FDB">
              <w:rPr>
                <w:b/>
              </w:rPr>
              <w:t>related to transit routes</w:t>
            </w:r>
            <w:r>
              <w:t xml:space="preserve"> of the</w:t>
            </w:r>
            <w:r w:rsidRPr="00F37DBE">
              <w:t xml:space="preserve"> OECD Due Diligence Guidance, Supplement on Tin, Tantalum and Tungsten, Step 2 Identify and Assess Risks in the Supply Chain</w:t>
            </w:r>
            <w:r>
              <w:t>, Sub-Section I.A, I.B and I.C.</w:t>
            </w:r>
          </w:p>
          <w:p w14:paraId="3C2E8CC4" w14:textId="77777777" w:rsidR="00543FDB" w:rsidRDefault="00543FDB" w:rsidP="0012326C">
            <w:pPr>
              <w:spacing w:after="0" w:line="240" w:lineRule="auto"/>
            </w:pPr>
          </w:p>
          <w:p w14:paraId="60DB0142" w14:textId="4CCC3ACF" w:rsidR="00543FDB" w:rsidRDefault="00543FDB" w:rsidP="0012326C">
            <w:pPr>
              <w:spacing w:after="0" w:line="240" w:lineRule="auto"/>
              <w:rPr>
                <w:lang w:val="en-GB"/>
              </w:rPr>
            </w:pPr>
            <w:r w:rsidRPr="00F37DBE">
              <w:t xml:space="preserve">Records to demonstrate conformance with OECD Due Diligence Guidance, </w:t>
            </w:r>
            <w:r w:rsidRPr="000E7682">
              <w:t>Supplement on Tin, Tantalum and Tungsten</w:t>
            </w:r>
            <w:r w:rsidRPr="00A829C8">
              <w:t xml:space="preserve">, Step 3 Design and Implement a Strategy to Respond to Identified Risks, </w:t>
            </w:r>
            <w:r w:rsidRPr="00796758">
              <w:t xml:space="preserve">Sub-Sections A, B.1, </w:t>
            </w:r>
            <w:r>
              <w:t>B.2.a).i), B.2.b)i), C.1 and D.</w:t>
            </w:r>
          </w:p>
          <w:p w14:paraId="51F8FE60" w14:textId="77777777" w:rsidR="00543FDB" w:rsidRDefault="00543FDB" w:rsidP="0012326C">
            <w:pPr>
              <w:spacing w:after="0" w:line="240" w:lineRule="auto"/>
              <w:rPr>
                <w:lang w:val="en-GB"/>
              </w:rPr>
            </w:pPr>
          </w:p>
          <w:p w14:paraId="58438749" w14:textId="01A42414" w:rsidR="00543FDB" w:rsidRPr="0012326C" w:rsidRDefault="00543FDB" w:rsidP="0012326C">
            <w:pPr>
              <w:spacing w:after="0" w:line="240" w:lineRule="auto"/>
              <w:rPr>
                <w:b/>
                <w:lang w:val="en-GB"/>
              </w:rPr>
            </w:pPr>
            <w:r w:rsidRPr="0012326C">
              <w:rPr>
                <w:b/>
                <w:lang w:val="en-GB"/>
              </w:rPr>
              <w:t xml:space="preserve">The sections below </w:t>
            </w:r>
            <w:r w:rsidR="00A667A1" w:rsidRPr="0012326C">
              <w:rPr>
                <w:b/>
                <w:lang w:val="en-GB"/>
              </w:rPr>
              <w:t xml:space="preserve">define required information to be provided during the CFSP audit. For further guidance on specific document types, please refer to the OECD Conformance Tool or the OECD Due Diligence Guidance. </w:t>
            </w:r>
          </w:p>
          <w:p w14:paraId="358D3EAC" w14:textId="4ED06493" w:rsidR="00543FDB" w:rsidRPr="00716F58" w:rsidRDefault="00543FDB" w:rsidP="0012326C">
            <w:pPr>
              <w:spacing w:after="0" w:line="240" w:lineRule="auto"/>
            </w:pPr>
          </w:p>
        </w:tc>
      </w:tr>
      <w:tr w:rsidR="00543FDB" w:rsidRPr="00716F58" w14:paraId="29053DFB" w14:textId="77777777" w:rsidTr="00113774">
        <w:trPr>
          <w:jc w:val="center"/>
        </w:trPr>
        <w:tc>
          <w:tcPr>
            <w:tcW w:w="1470" w:type="dxa"/>
            <w:vMerge/>
            <w:vAlign w:val="center"/>
          </w:tcPr>
          <w:p w14:paraId="3A4F5B85" w14:textId="17644838" w:rsidR="00543FDB" w:rsidRPr="00716F58" w:rsidRDefault="00543FDB" w:rsidP="00B94513">
            <w:pPr>
              <w:spacing w:after="0" w:line="240" w:lineRule="auto"/>
              <w:rPr>
                <w:lang w:val="en-GB"/>
              </w:rPr>
            </w:pPr>
          </w:p>
        </w:tc>
        <w:tc>
          <w:tcPr>
            <w:tcW w:w="1516" w:type="dxa"/>
            <w:vMerge/>
            <w:vAlign w:val="center"/>
          </w:tcPr>
          <w:p w14:paraId="1176DC8E" w14:textId="77777777" w:rsidR="00543FDB" w:rsidRPr="00716F58" w:rsidRDefault="00543FDB" w:rsidP="00B94513">
            <w:pPr>
              <w:spacing w:after="0" w:line="240" w:lineRule="auto"/>
              <w:rPr>
                <w:lang w:val="en-GB"/>
              </w:rPr>
            </w:pPr>
          </w:p>
        </w:tc>
        <w:tc>
          <w:tcPr>
            <w:tcW w:w="1573" w:type="dxa"/>
          </w:tcPr>
          <w:p w14:paraId="17F7E1E5" w14:textId="6F56F571" w:rsidR="00543FDB" w:rsidRDefault="00543FDB" w:rsidP="00B94513">
            <w:pPr>
              <w:spacing w:after="0" w:line="240" w:lineRule="auto"/>
              <w:rPr>
                <w:lang w:val="en-GB"/>
              </w:rPr>
            </w:pPr>
            <w:r>
              <w:rPr>
                <w:lang w:val="en-GB"/>
              </w:rPr>
              <w:t>Management System</w:t>
            </w:r>
          </w:p>
        </w:tc>
        <w:tc>
          <w:tcPr>
            <w:tcW w:w="4909" w:type="dxa"/>
            <w:vAlign w:val="center"/>
          </w:tcPr>
          <w:p w14:paraId="1BA1CB69" w14:textId="573A0651" w:rsidR="00543FDB" w:rsidRPr="0012326C" w:rsidRDefault="00543FDB" w:rsidP="0012326C">
            <w:pPr>
              <w:numPr>
                <w:ilvl w:val="0"/>
                <w:numId w:val="24"/>
              </w:numPr>
              <w:spacing w:after="0" w:line="240" w:lineRule="auto"/>
              <w:ind w:left="439"/>
            </w:pPr>
            <w:r w:rsidRPr="00640D52">
              <w:t>The completed CFSP OECD Conformance Tool</w:t>
            </w:r>
          </w:p>
        </w:tc>
      </w:tr>
      <w:tr w:rsidR="00543FDB" w:rsidRPr="00716F58" w14:paraId="00D04788" w14:textId="77777777" w:rsidTr="00113774">
        <w:trPr>
          <w:jc w:val="center"/>
        </w:trPr>
        <w:tc>
          <w:tcPr>
            <w:tcW w:w="1470" w:type="dxa"/>
            <w:vMerge/>
            <w:vAlign w:val="center"/>
          </w:tcPr>
          <w:p w14:paraId="7619D055" w14:textId="77777777" w:rsidR="00543FDB" w:rsidRPr="00716F58" w:rsidRDefault="00543FDB" w:rsidP="00B94513">
            <w:pPr>
              <w:spacing w:after="0" w:line="240" w:lineRule="auto"/>
              <w:rPr>
                <w:lang w:val="en-GB"/>
              </w:rPr>
            </w:pPr>
          </w:p>
        </w:tc>
        <w:tc>
          <w:tcPr>
            <w:tcW w:w="1516" w:type="dxa"/>
            <w:vMerge/>
            <w:vAlign w:val="center"/>
          </w:tcPr>
          <w:p w14:paraId="575A32B5" w14:textId="77777777" w:rsidR="00543FDB" w:rsidRPr="00716F58" w:rsidRDefault="00543FDB" w:rsidP="00B94513">
            <w:pPr>
              <w:spacing w:after="0" w:line="240" w:lineRule="auto"/>
              <w:rPr>
                <w:lang w:val="en-GB"/>
              </w:rPr>
            </w:pPr>
          </w:p>
        </w:tc>
        <w:tc>
          <w:tcPr>
            <w:tcW w:w="1573" w:type="dxa"/>
          </w:tcPr>
          <w:p w14:paraId="3A581DE6" w14:textId="660CB74C" w:rsidR="00543FDB" w:rsidRDefault="00543FDB" w:rsidP="00B94513">
            <w:pPr>
              <w:spacing w:after="0" w:line="240" w:lineRule="auto"/>
              <w:rPr>
                <w:lang w:val="en-GB"/>
              </w:rPr>
            </w:pPr>
            <w:r>
              <w:rPr>
                <w:lang w:val="en-GB"/>
              </w:rPr>
              <w:t>Context</w:t>
            </w:r>
          </w:p>
        </w:tc>
        <w:tc>
          <w:tcPr>
            <w:tcW w:w="4909" w:type="dxa"/>
            <w:vAlign w:val="center"/>
          </w:tcPr>
          <w:p w14:paraId="617FD9B8" w14:textId="4CE3E21B" w:rsidR="00543FDB" w:rsidRPr="0012326C" w:rsidRDefault="000831E7" w:rsidP="0012326C">
            <w:pPr>
              <w:numPr>
                <w:ilvl w:val="0"/>
                <w:numId w:val="24"/>
              </w:numPr>
              <w:spacing w:after="0" w:line="240" w:lineRule="auto"/>
              <w:ind w:left="439"/>
            </w:pPr>
            <w:r w:rsidRPr="0012326C">
              <w:t xml:space="preserve">Information on the </w:t>
            </w:r>
            <w:r w:rsidR="0081579D" w:rsidRPr="0081579D">
              <w:t>political, economic, social and security context</w:t>
            </w:r>
            <w:r w:rsidR="0081579D">
              <w:t xml:space="preserve"> </w:t>
            </w:r>
            <w:r w:rsidR="0081579D" w:rsidRPr="0081579D">
              <w:t>of the Level 2 country in as far as the information relates to the transit of minerals from conflict-affected and high-risk areas</w:t>
            </w:r>
          </w:p>
        </w:tc>
      </w:tr>
      <w:tr w:rsidR="00543FDB" w:rsidRPr="00716F58" w14:paraId="58582741" w14:textId="77777777" w:rsidTr="00113774">
        <w:trPr>
          <w:jc w:val="center"/>
        </w:trPr>
        <w:tc>
          <w:tcPr>
            <w:tcW w:w="1470" w:type="dxa"/>
            <w:vMerge/>
            <w:vAlign w:val="center"/>
          </w:tcPr>
          <w:p w14:paraId="7B989869" w14:textId="77777777" w:rsidR="00543FDB" w:rsidRPr="00716F58" w:rsidRDefault="00543FDB" w:rsidP="00B94513">
            <w:pPr>
              <w:spacing w:after="0" w:line="240" w:lineRule="auto"/>
              <w:rPr>
                <w:lang w:val="en-GB"/>
              </w:rPr>
            </w:pPr>
          </w:p>
        </w:tc>
        <w:tc>
          <w:tcPr>
            <w:tcW w:w="1516" w:type="dxa"/>
            <w:vMerge/>
            <w:vAlign w:val="center"/>
          </w:tcPr>
          <w:p w14:paraId="281BE1D7" w14:textId="77777777" w:rsidR="00543FDB" w:rsidRPr="00716F58" w:rsidRDefault="00543FDB" w:rsidP="00B94513">
            <w:pPr>
              <w:spacing w:after="0" w:line="240" w:lineRule="auto"/>
              <w:rPr>
                <w:lang w:val="en-GB"/>
              </w:rPr>
            </w:pPr>
          </w:p>
        </w:tc>
        <w:tc>
          <w:tcPr>
            <w:tcW w:w="1573" w:type="dxa"/>
          </w:tcPr>
          <w:p w14:paraId="50B3CBF2" w14:textId="50E94E7A" w:rsidR="00543FDB" w:rsidRDefault="00254366" w:rsidP="00254366">
            <w:pPr>
              <w:spacing w:after="0" w:line="240" w:lineRule="auto"/>
              <w:rPr>
                <w:lang w:val="en-GB"/>
              </w:rPr>
            </w:pPr>
            <w:r>
              <w:rPr>
                <w:lang w:val="en-GB"/>
              </w:rPr>
              <w:t xml:space="preserve">Circumstances: Source </w:t>
            </w:r>
          </w:p>
        </w:tc>
        <w:tc>
          <w:tcPr>
            <w:tcW w:w="4909" w:type="dxa"/>
            <w:vAlign w:val="center"/>
          </w:tcPr>
          <w:p w14:paraId="77E5AB20" w14:textId="5D80D2A3" w:rsidR="00640D52" w:rsidRDefault="00640D52" w:rsidP="0012326C">
            <w:pPr>
              <w:numPr>
                <w:ilvl w:val="0"/>
                <w:numId w:val="24"/>
              </w:numPr>
              <w:spacing w:after="0" w:line="240" w:lineRule="auto"/>
              <w:ind w:left="439"/>
            </w:pPr>
            <w:r>
              <w:t>Identification and Know Your Customer information on supply chain actors, e.g.:</w:t>
            </w:r>
          </w:p>
          <w:p w14:paraId="372C8B66" w14:textId="42ECA75D" w:rsidR="00640D52" w:rsidRDefault="00640D52" w:rsidP="0012326C">
            <w:pPr>
              <w:numPr>
                <w:ilvl w:val="1"/>
                <w:numId w:val="24"/>
              </w:numPr>
              <w:spacing w:after="0" w:line="240" w:lineRule="auto"/>
            </w:pPr>
            <w:r>
              <w:t>Level 1 Example Document Types for Sources</w:t>
            </w:r>
          </w:p>
          <w:p w14:paraId="4904F985" w14:textId="321DAAC1" w:rsidR="00640D52" w:rsidRDefault="00543FDB" w:rsidP="0012326C">
            <w:pPr>
              <w:numPr>
                <w:ilvl w:val="1"/>
                <w:numId w:val="24"/>
              </w:numPr>
              <w:spacing w:after="0" w:line="240" w:lineRule="auto"/>
            </w:pPr>
            <w:r>
              <w:t>Government issued mine license</w:t>
            </w:r>
            <w:r>
              <w:rPr>
                <w:rStyle w:val="FootnoteReference"/>
              </w:rPr>
              <w:footnoteReference w:id="10"/>
            </w:r>
          </w:p>
          <w:p w14:paraId="07F7103B" w14:textId="101F9CAB" w:rsidR="00640D52" w:rsidRDefault="00640D52" w:rsidP="0012326C">
            <w:pPr>
              <w:numPr>
                <w:ilvl w:val="0"/>
                <w:numId w:val="24"/>
              </w:numPr>
              <w:spacing w:after="0" w:line="240" w:lineRule="auto"/>
              <w:ind w:left="439"/>
            </w:pPr>
            <w:r>
              <w:rPr>
                <w:lang w:val="en-GB"/>
              </w:rPr>
              <w:t>Qualitative information on conditions in the supply chain, e.g.:</w:t>
            </w:r>
          </w:p>
          <w:p w14:paraId="2C366759" w14:textId="77777777" w:rsidR="00640D52" w:rsidRPr="00C43E5E" w:rsidRDefault="00640D52" w:rsidP="0012326C">
            <w:pPr>
              <w:numPr>
                <w:ilvl w:val="1"/>
                <w:numId w:val="24"/>
              </w:numPr>
              <w:spacing w:after="0" w:line="240" w:lineRule="auto"/>
            </w:pPr>
            <w:r w:rsidRPr="00254366">
              <w:rPr>
                <w:lang w:val="en-GB"/>
              </w:rPr>
              <w:t>Reports or data from supplier, company or external source to validate as known production areas and substantiate the output declared by the source / mine</w:t>
            </w:r>
          </w:p>
          <w:p w14:paraId="2BDC9F91" w14:textId="77777777" w:rsidR="00640D52" w:rsidRDefault="00640D52" w:rsidP="00640D52">
            <w:pPr>
              <w:numPr>
                <w:ilvl w:val="1"/>
                <w:numId w:val="24"/>
              </w:numPr>
              <w:spacing w:after="0" w:line="240" w:lineRule="auto"/>
            </w:pPr>
            <w:r>
              <w:lastRenderedPageBreak/>
              <w:t>Smuggling of minerals</w:t>
            </w:r>
          </w:p>
          <w:p w14:paraId="49E23858" w14:textId="77777777" w:rsidR="00640D52" w:rsidRDefault="00640D52" w:rsidP="00640D52">
            <w:pPr>
              <w:numPr>
                <w:ilvl w:val="1"/>
                <w:numId w:val="24"/>
              </w:numPr>
              <w:spacing w:after="0" w:line="240" w:lineRule="auto"/>
            </w:pPr>
            <w:r>
              <w:t xml:space="preserve">Occurrence of bribery, money laundering or non-payment of taxes, fees and royalties </w:t>
            </w:r>
          </w:p>
          <w:p w14:paraId="1CA3F0C3" w14:textId="06986A6E" w:rsidR="00640D52" w:rsidRPr="0012326C" w:rsidRDefault="00640D52" w:rsidP="0012326C">
            <w:pPr>
              <w:numPr>
                <w:ilvl w:val="1"/>
                <w:numId w:val="24"/>
              </w:numPr>
              <w:spacing w:after="0" w:line="240" w:lineRule="auto"/>
            </w:pPr>
            <w:r>
              <w:t>Manipulation / fraud of documentation of origin or transportation</w:t>
            </w:r>
          </w:p>
        </w:tc>
      </w:tr>
      <w:tr w:rsidR="00543FDB" w:rsidRPr="00716F58" w14:paraId="5FCE284A" w14:textId="77777777" w:rsidTr="00113774">
        <w:trPr>
          <w:jc w:val="center"/>
        </w:trPr>
        <w:tc>
          <w:tcPr>
            <w:tcW w:w="1470" w:type="dxa"/>
            <w:vMerge/>
            <w:vAlign w:val="center"/>
          </w:tcPr>
          <w:p w14:paraId="2274B373" w14:textId="40E2E941" w:rsidR="00543FDB" w:rsidRPr="00716F58" w:rsidRDefault="00543FDB" w:rsidP="00B94513">
            <w:pPr>
              <w:spacing w:after="0" w:line="240" w:lineRule="auto"/>
              <w:rPr>
                <w:lang w:val="en-GB"/>
              </w:rPr>
            </w:pPr>
          </w:p>
        </w:tc>
        <w:tc>
          <w:tcPr>
            <w:tcW w:w="1516" w:type="dxa"/>
            <w:vMerge/>
            <w:vAlign w:val="center"/>
          </w:tcPr>
          <w:p w14:paraId="72150FF3" w14:textId="77777777" w:rsidR="00543FDB" w:rsidRPr="00716F58" w:rsidRDefault="00543FDB" w:rsidP="00B94513">
            <w:pPr>
              <w:spacing w:after="0" w:line="240" w:lineRule="auto"/>
              <w:rPr>
                <w:lang w:val="en-GB"/>
              </w:rPr>
            </w:pPr>
          </w:p>
        </w:tc>
        <w:tc>
          <w:tcPr>
            <w:tcW w:w="1573" w:type="dxa"/>
          </w:tcPr>
          <w:p w14:paraId="2D11E0EE" w14:textId="1994F3FE" w:rsidR="00543FDB" w:rsidRDefault="00543FDB" w:rsidP="00B94513">
            <w:pPr>
              <w:spacing w:after="0" w:line="240" w:lineRule="auto"/>
              <w:rPr>
                <w:lang w:val="en-GB"/>
              </w:rPr>
            </w:pPr>
            <w:r>
              <w:rPr>
                <w:lang w:val="en-GB"/>
              </w:rPr>
              <w:t>Chain of Custody or Traceability</w:t>
            </w:r>
          </w:p>
        </w:tc>
        <w:tc>
          <w:tcPr>
            <w:tcW w:w="4909" w:type="dxa"/>
            <w:vAlign w:val="center"/>
          </w:tcPr>
          <w:p w14:paraId="16CF8DE0" w14:textId="77777777" w:rsidR="00543FDB" w:rsidRDefault="00640D52" w:rsidP="0012326C">
            <w:pPr>
              <w:numPr>
                <w:ilvl w:val="0"/>
                <w:numId w:val="24"/>
              </w:numPr>
              <w:spacing w:after="0" w:line="240" w:lineRule="auto"/>
              <w:ind w:left="439"/>
            </w:pPr>
            <w:r w:rsidRPr="0012326C">
              <w:t>Validation of the entire chain of custody or traceability from mine to smelter, e.g.:</w:t>
            </w:r>
          </w:p>
          <w:p w14:paraId="21EEC37C" w14:textId="6F3190FC" w:rsidR="00640D52" w:rsidRPr="0012326C" w:rsidRDefault="00640D52" w:rsidP="0012326C">
            <w:pPr>
              <w:numPr>
                <w:ilvl w:val="1"/>
                <w:numId w:val="24"/>
              </w:numPr>
              <w:spacing w:after="0" w:line="240" w:lineRule="auto"/>
            </w:pPr>
            <w:r>
              <w:t>Level 1 Example Document Types for Transportation for each step of the supply chain</w:t>
            </w:r>
          </w:p>
        </w:tc>
      </w:tr>
      <w:tr w:rsidR="00543FDB" w:rsidRPr="00716F58" w14:paraId="6409AEB2" w14:textId="77777777" w:rsidTr="00113774">
        <w:trPr>
          <w:jc w:val="center"/>
        </w:trPr>
        <w:tc>
          <w:tcPr>
            <w:tcW w:w="1470" w:type="dxa"/>
            <w:vMerge/>
            <w:vAlign w:val="center"/>
          </w:tcPr>
          <w:p w14:paraId="1024DA10" w14:textId="3382833F" w:rsidR="00543FDB" w:rsidRPr="00716F58" w:rsidRDefault="00543FDB" w:rsidP="00B94513">
            <w:pPr>
              <w:spacing w:after="0" w:line="240" w:lineRule="auto"/>
              <w:rPr>
                <w:lang w:val="en-GB"/>
              </w:rPr>
            </w:pPr>
          </w:p>
        </w:tc>
        <w:tc>
          <w:tcPr>
            <w:tcW w:w="1516" w:type="dxa"/>
            <w:vMerge/>
            <w:vAlign w:val="center"/>
          </w:tcPr>
          <w:p w14:paraId="70CE437E" w14:textId="77777777" w:rsidR="00543FDB" w:rsidRPr="00716F58" w:rsidRDefault="00543FDB" w:rsidP="00B94513">
            <w:pPr>
              <w:spacing w:after="0" w:line="240" w:lineRule="auto"/>
              <w:rPr>
                <w:lang w:val="en-GB"/>
              </w:rPr>
            </w:pPr>
          </w:p>
        </w:tc>
        <w:tc>
          <w:tcPr>
            <w:tcW w:w="1573" w:type="dxa"/>
          </w:tcPr>
          <w:p w14:paraId="34003501" w14:textId="60B2BC66" w:rsidR="00543FDB" w:rsidRDefault="00543FDB" w:rsidP="00B94513">
            <w:pPr>
              <w:spacing w:after="0" w:line="240" w:lineRule="auto"/>
              <w:rPr>
                <w:lang w:val="en-GB"/>
              </w:rPr>
            </w:pPr>
            <w:r>
              <w:rPr>
                <w:lang w:val="en-GB"/>
              </w:rPr>
              <w:t>Risk Assessment</w:t>
            </w:r>
          </w:p>
        </w:tc>
        <w:tc>
          <w:tcPr>
            <w:tcW w:w="4909" w:type="dxa"/>
            <w:vAlign w:val="center"/>
          </w:tcPr>
          <w:p w14:paraId="69CB5A1C" w14:textId="77777777" w:rsidR="009D21A8" w:rsidRPr="0012326C" w:rsidRDefault="009D21A8" w:rsidP="0012326C">
            <w:pPr>
              <w:numPr>
                <w:ilvl w:val="0"/>
                <w:numId w:val="24"/>
              </w:numPr>
              <w:spacing w:after="0" w:line="240" w:lineRule="auto"/>
              <w:ind w:left="439"/>
              <w:rPr>
                <w:lang w:val="en-GB"/>
              </w:rPr>
            </w:pPr>
            <w:r w:rsidRPr="0012326C">
              <w:t>Risk Assessment</w:t>
            </w:r>
          </w:p>
          <w:p w14:paraId="06FE4780" w14:textId="394CC581" w:rsidR="00B12126" w:rsidRPr="009D21A8" w:rsidRDefault="00B12126" w:rsidP="0012326C">
            <w:pPr>
              <w:numPr>
                <w:ilvl w:val="0"/>
                <w:numId w:val="24"/>
              </w:numPr>
              <w:spacing w:after="0" w:line="240" w:lineRule="auto"/>
              <w:ind w:left="439"/>
              <w:rPr>
                <w:lang w:val="en-GB"/>
              </w:rPr>
            </w:pPr>
            <w:r>
              <w:t>On-going monitoring of risks</w:t>
            </w:r>
          </w:p>
        </w:tc>
      </w:tr>
      <w:tr w:rsidR="00543FDB" w:rsidRPr="00716F58" w14:paraId="187E062E" w14:textId="77777777" w:rsidTr="00113774">
        <w:trPr>
          <w:jc w:val="center"/>
        </w:trPr>
        <w:tc>
          <w:tcPr>
            <w:tcW w:w="1470" w:type="dxa"/>
            <w:vMerge/>
            <w:vAlign w:val="center"/>
          </w:tcPr>
          <w:p w14:paraId="5310AD3D" w14:textId="3BCF2FFF" w:rsidR="00543FDB" w:rsidRPr="00716F58" w:rsidRDefault="00543FDB" w:rsidP="00B94513">
            <w:pPr>
              <w:spacing w:after="0" w:line="240" w:lineRule="auto"/>
              <w:rPr>
                <w:lang w:val="en-GB"/>
              </w:rPr>
            </w:pPr>
          </w:p>
        </w:tc>
        <w:tc>
          <w:tcPr>
            <w:tcW w:w="1516" w:type="dxa"/>
            <w:vMerge/>
            <w:vAlign w:val="center"/>
          </w:tcPr>
          <w:p w14:paraId="41D2F173" w14:textId="77777777" w:rsidR="00543FDB" w:rsidRPr="00716F58" w:rsidRDefault="00543FDB" w:rsidP="00B94513">
            <w:pPr>
              <w:spacing w:after="0" w:line="240" w:lineRule="auto"/>
              <w:rPr>
                <w:lang w:val="en-GB"/>
              </w:rPr>
            </w:pPr>
          </w:p>
        </w:tc>
        <w:tc>
          <w:tcPr>
            <w:tcW w:w="1573" w:type="dxa"/>
          </w:tcPr>
          <w:p w14:paraId="54859F05" w14:textId="43F28AD8" w:rsidR="00543FDB" w:rsidRDefault="00543FDB" w:rsidP="00B94513">
            <w:pPr>
              <w:spacing w:after="0" w:line="240" w:lineRule="auto"/>
              <w:rPr>
                <w:lang w:val="en-GB"/>
              </w:rPr>
            </w:pPr>
            <w:r>
              <w:rPr>
                <w:lang w:val="en-GB"/>
              </w:rPr>
              <w:t>Risk Mitigation</w:t>
            </w:r>
          </w:p>
        </w:tc>
        <w:tc>
          <w:tcPr>
            <w:tcW w:w="4909" w:type="dxa"/>
            <w:vAlign w:val="center"/>
          </w:tcPr>
          <w:p w14:paraId="2657A8C9" w14:textId="77777777" w:rsidR="00543FDB" w:rsidRPr="0012326C" w:rsidRDefault="009D21A8" w:rsidP="0012326C">
            <w:pPr>
              <w:numPr>
                <w:ilvl w:val="0"/>
                <w:numId w:val="24"/>
              </w:numPr>
              <w:spacing w:after="0" w:line="240" w:lineRule="auto"/>
              <w:ind w:left="439"/>
            </w:pPr>
            <w:r w:rsidRPr="0012326C">
              <w:t>Risk Mitigation Plan</w:t>
            </w:r>
          </w:p>
          <w:p w14:paraId="22E24AA6" w14:textId="77777777" w:rsidR="009D21A8" w:rsidRPr="0012326C" w:rsidRDefault="009D21A8" w:rsidP="0012326C">
            <w:pPr>
              <w:numPr>
                <w:ilvl w:val="0"/>
                <w:numId w:val="24"/>
              </w:numPr>
              <w:spacing w:after="0" w:line="240" w:lineRule="auto"/>
              <w:ind w:left="439"/>
              <w:rPr>
                <w:lang w:val="en-GB"/>
              </w:rPr>
            </w:pPr>
            <w:r w:rsidRPr="0012326C">
              <w:t>Internal Reporting</w:t>
            </w:r>
          </w:p>
          <w:p w14:paraId="25325F48" w14:textId="78C4A700" w:rsidR="00B12126" w:rsidRPr="009D21A8" w:rsidRDefault="00B12126" w:rsidP="0012326C">
            <w:pPr>
              <w:numPr>
                <w:ilvl w:val="0"/>
                <w:numId w:val="24"/>
              </w:numPr>
              <w:spacing w:after="0" w:line="240" w:lineRule="auto"/>
              <w:ind w:left="439"/>
              <w:rPr>
                <w:lang w:val="en-GB"/>
              </w:rPr>
            </w:pPr>
            <w:r>
              <w:t>Monitoring and tracking of performance on risk mitigation</w:t>
            </w:r>
          </w:p>
        </w:tc>
      </w:tr>
      <w:tr w:rsidR="00542952" w:rsidRPr="00716F58" w14:paraId="6A9B28F3" w14:textId="77777777" w:rsidTr="00437774">
        <w:trPr>
          <w:jc w:val="center"/>
        </w:trPr>
        <w:tc>
          <w:tcPr>
            <w:tcW w:w="1470" w:type="dxa"/>
            <w:vMerge w:val="restart"/>
            <w:vAlign w:val="center"/>
          </w:tcPr>
          <w:p w14:paraId="164481FD" w14:textId="4527C2E3" w:rsidR="00542952" w:rsidRPr="00716F58" w:rsidRDefault="00542952" w:rsidP="00B94513">
            <w:pPr>
              <w:spacing w:after="0" w:line="240" w:lineRule="auto"/>
              <w:rPr>
                <w:lang w:val="en-GB"/>
              </w:rPr>
            </w:pPr>
            <w:r>
              <w:rPr>
                <w:lang w:val="en-GB"/>
              </w:rPr>
              <w:t xml:space="preserve">Mined Materials </w:t>
            </w:r>
            <w:r w:rsidRPr="00716F58">
              <w:rPr>
                <w:lang w:val="en-GB"/>
              </w:rPr>
              <w:t>L3</w:t>
            </w:r>
          </w:p>
        </w:tc>
        <w:tc>
          <w:tcPr>
            <w:tcW w:w="1516" w:type="dxa"/>
            <w:vMerge w:val="restart"/>
            <w:vAlign w:val="center"/>
          </w:tcPr>
          <w:p w14:paraId="64712068" w14:textId="2BAF36F7" w:rsidR="00542952" w:rsidRPr="00716F58" w:rsidRDefault="00542952" w:rsidP="00B94513">
            <w:pPr>
              <w:spacing w:after="0" w:line="240" w:lineRule="auto"/>
              <w:rPr>
                <w:lang w:val="en-GB"/>
              </w:rPr>
            </w:pPr>
          </w:p>
          <w:p w14:paraId="5D3B846D" w14:textId="6FC6A886" w:rsidR="00542952" w:rsidRPr="00716F58" w:rsidRDefault="00542952" w:rsidP="00B94513">
            <w:pPr>
              <w:spacing w:after="0" w:line="240" w:lineRule="auto"/>
              <w:rPr>
                <w:lang w:val="en-GB"/>
              </w:rPr>
            </w:pPr>
            <w:r w:rsidRPr="00716F58">
              <w:rPr>
                <w:lang w:val="en-GB"/>
              </w:rPr>
              <w:t>OECD Conformant Process</w:t>
            </w:r>
          </w:p>
        </w:tc>
        <w:tc>
          <w:tcPr>
            <w:tcW w:w="6482" w:type="dxa"/>
            <w:gridSpan w:val="2"/>
          </w:tcPr>
          <w:p w14:paraId="479CE1A3" w14:textId="77777777" w:rsidR="00542952" w:rsidRPr="00542952" w:rsidRDefault="00542952" w:rsidP="0012326C">
            <w:pPr>
              <w:spacing w:after="0" w:line="240" w:lineRule="auto"/>
              <w:rPr>
                <w:rFonts w:asciiTheme="majorHAnsi" w:eastAsiaTheme="majorEastAsia" w:hAnsiTheme="majorHAnsi" w:cstheme="majorBidi"/>
                <w:b/>
                <w:bCs/>
                <w:caps/>
                <w:color w:val="404040" w:themeColor="text1" w:themeTint="BF"/>
                <w:spacing w:val="-10"/>
                <w:sz w:val="72"/>
                <w:szCs w:val="72"/>
              </w:rPr>
            </w:pPr>
            <w:r w:rsidRPr="00F37DBE">
              <w:t>Records to demonstrate conformance with OECD Due Diligence Guidance, Supplement on Tin, Tantalum and Tungsten, Step 2 Identify and Assess Risks in the Supply Chain, Sub-Section I.A, I.B and I.C.</w:t>
            </w:r>
          </w:p>
          <w:p w14:paraId="0EEB4BE7" w14:textId="77777777" w:rsidR="00542952" w:rsidRDefault="00542952" w:rsidP="0012326C">
            <w:pPr>
              <w:spacing w:after="0" w:line="240" w:lineRule="auto"/>
            </w:pPr>
          </w:p>
          <w:p w14:paraId="68890C12" w14:textId="77777777" w:rsidR="00542952" w:rsidRPr="00542952" w:rsidRDefault="00542952" w:rsidP="0012326C">
            <w:pPr>
              <w:spacing w:after="0" w:line="240" w:lineRule="auto"/>
              <w:rPr>
                <w:rFonts w:asciiTheme="majorHAnsi" w:eastAsiaTheme="majorEastAsia" w:hAnsiTheme="majorHAnsi" w:cstheme="majorBidi"/>
                <w:b/>
                <w:bCs/>
                <w:caps/>
                <w:color w:val="404040" w:themeColor="text1" w:themeTint="BF"/>
                <w:spacing w:val="-10"/>
                <w:sz w:val="72"/>
                <w:szCs w:val="72"/>
              </w:rPr>
            </w:pPr>
            <w:r w:rsidRPr="00F37DBE">
              <w:t xml:space="preserve">Records to demonstrate conformance with OECD Due Diligence Guidance, </w:t>
            </w:r>
            <w:r w:rsidRPr="000E7682">
              <w:t>Supplement on Tin, Tantalum and Tungsten</w:t>
            </w:r>
            <w:r w:rsidRPr="00A829C8">
              <w:t xml:space="preserve">, Step 3 Design and Implement a Strategy to Respond to Identified Risks, </w:t>
            </w:r>
            <w:r w:rsidRPr="00796758">
              <w:t>Sub-Sections A, B.1, B.2.a).i), B.2.b)i), C.1 and D.</w:t>
            </w:r>
          </w:p>
          <w:p w14:paraId="6CA0F0EB" w14:textId="77777777" w:rsidR="00542952" w:rsidRDefault="00542952" w:rsidP="00542952">
            <w:pPr>
              <w:spacing w:after="0" w:line="240" w:lineRule="auto"/>
              <w:rPr>
                <w:rFonts w:cs="Calibri"/>
              </w:rPr>
            </w:pPr>
          </w:p>
          <w:p w14:paraId="072D7F77" w14:textId="2937256E" w:rsidR="00542952" w:rsidRPr="0012326C" w:rsidRDefault="00542952" w:rsidP="00542952">
            <w:pPr>
              <w:spacing w:after="0" w:line="240" w:lineRule="auto"/>
              <w:rPr>
                <w:b/>
                <w:lang w:val="en-GB"/>
              </w:rPr>
            </w:pPr>
            <w:r w:rsidRPr="00C43E5E">
              <w:rPr>
                <w:b/>
                <w:lang w:val="en-GB"/>
              </w:rPr>
              <w:t xml:space="preserve">The sections below define required information to be provided during the CFSP audit. For further guidance on specific document types, please refer to the OECD Conformance Tool or the OECD Due Diligence Guidance. </w:t>
            </w:r>
          </w:p>
          <w:p w14:paraId="777FB66B" w14:textId="77777777" w:rsidR="00542952" w:rsidRDefault="00542952" w:rsidP="00542952">
            <w:pPr>
              <w:spacing w:after="0" w:line="240" w:lineRule="auto"/>
              <w:rPr>
                <w:rFonts w:cs="Calibri"/>
              </w:rPr>
            </w:pPr>
          </w:p>
          <w:p w14:paraId="4F54284E" w14:textId="5449A40A" w:rsidR="00542952" w:rsidRPr="0012326C" w:rsidRDefault="00542952" w:rsidP="00542952">
            <w:pPr>
              <w:spacing w:after="0" w:line="240" w:lineRule="auto"/>
            </w:pPr>
            <w:r>
              <w:rPr>
                <w:rFonts w:cs="Calibri"/>
              </w:rPr>
              <w:t>Documentation requirements to demonstrate conformance with the OECD Due Diligence Guidance may be reduced if the smelter has undergone an independent assessment as part of an upstream assurance system. The final scope for the CFSP audit will be determined based on the completed OECD Conformance Tool.</w:t>
            </w:r>
          </w:p>
        </w:tc>
      </w:tr>
      <w:tr w:rsidR="00542952" w:rsidRPr="00716F58" w14:paraId="7AE6EAAF" w14:textId="77777777" w:rsidTr="00113774">
        <w:trPr>
          <w:jc w:val="center"/>
        </w:trPr>
        <w:tc>
          <w:tcPr>
            <w:tcW w:w="1470" w:type="dxa"/>
            <w:vMerge/>
            <w:vAlign w:val="center"/>
          </w:tcPr>
          <w:p w14:paraId="2713094F" w14:textId="77777777" w:rsidR="00542952" w:rsidRPr="00716F58" w:rsidRDefault="00542952" w:rsidP="00B94513">
            <w:pPr>
              <w:spacing w:after="0" w:line="240" w:lineRule="auto"/>
              <w:rPr>
                <w:lang w:val="en-GB"/>
              </w:rPr>
            </w:pPr>
          </w:p>
        </w:tc>
        <w:tc>
          <w:tcPr>
            <w:tcW w:w="1516" w:type="dxa"/>
            <w:vMerge/>
            <w:vAlign w:val="center"/>
          </w:tcPr>
          <w:p w14:paraId="2058E50E" w14:textId="77777777" w:rsidR="00542952" w:rsidRPr="00716F58" w:rsidRDefault="00542952" w:rsidP="00B94513">
            <w:pPr>
              <w:spacing w:after="0" w:line="240" w:lineRule="auto"/>
              <w:rPr>
                <w:lang w:val="en-GB"/>
              </w:rPr>
            </w:pPr>
          </w:p>
        </w:tc>
        <w:tc>
          <w:tcPr>
            <w:tcW w:w="1573" w:type="dxa"/>
          </w:tcPr>
          <w:p w14:paraId="0D581D42" w14:textId="7A1F2DC0" w:rsidR="00542952" w:rsidRDefault="00542952" w:rsidP="00B94513">
            <w:pPr>
              <w:spacing w:after="0" w:line="240" w:lineRule="auto"/>
              <w:rPr>
                <w:lang w:val="en-GB"/>
              </w:rPr>
            </w:pPr>
            <w:r>
              <w:rPr>
                <w:lang w:val="en-GB"/>
              </w:rPr>
              <w:t>Management System</w:t>
            </w:r>
          </w:p>
        </w:tc>
        <w:tc>
          <w:tcPr>
            <w:tcW w:w="4909" w:type="dxa"/>
            <w:vAlign w:val="center"/>
          </w:tcPr>
          <w:p w14:paraId="08673849" w14:textId="192B0DF2" w:rsidR="00542952" w:rsidRPr="00716F58" w:rsidRDefault="00542952" w:rsidP="00B94513">
            <w:pPr>
              <w:spacing w:after="0" w:line="240" w:lineRule="auto"/>
              <w:rPr>
                <w:lang w:val="en-GB"/>
              </w:rPr>
            </w:pPr>
            <w:r w:rsidRPr="00640D52">
              <w:t>The completed CFSP OECD Conformance Tool</w:t>
            </w:r>
          </w:p>
        </w:tc>
      </w:tr>
      <w:tr w:rsidR="00542952" w:rsidRPr="00716F58" w14:paraId="76B3FD93" w14:textId="77777777" w:rsidTr="00113774">
        <w:trPr>
          <w:jc w:val="center"/>
        </w:trPr>
        <w:tc>
          <w:tcPr>
            <w:tcW w:w="1470" w:type="dxa"/>
            <w:vMerge/>
            <w:vAlign w:val="center"/>
          </w:tcPr>
          <w:p w14:paraId="3BE19EF5" w14:textId="77777777" w:rsidR="00542952" w:rsidRPr="00716F58" w:rsidRDefault="00542952" w:rsidP="00B94513">
            <w:pPr>
              <w:spacing w:after="0" w:line="240" w:lineRule="auto"/>
              <w:rPr>
                <w:lang w:val="en-GB"/>
              </w:rPr>
            </w:pPr>
          </w:p>
        </w:tc>
        <w:tc>
          <w:tcPr>
            <w:tcW w:w="1516" w:type="dxa"/>
            <w:vMerge/>
            <w:vAlign w:val="center"/>
          </w:tcPr>
          <w:p w14:paraId="599BEAEE" w14:textId="77777777" w:rsidR="00542952" w:rsidRPr="00716F58" w:rsidRDefault="00542952" w:rsidP="00B94513">
            <w:pPr>
              <w:spacing w:after="0" w:line="240" w:lineRule="auto"/>
              <w:rPr>
                <w:lang w:val="en-GB"/>
              </w:rPr>
            </w:pPr>
          </w:p>
        </w:tc>
        <w:tc>
          <w:tcPr>
            <w:tcW w:w="1573" w:type="dxa"/>
          </w:tcPr>
          <w:p w14:paraId="4D9082B4" w14:textId="23C2C5AC" w:rsidR="00542952" w:rsidRDefault="00542952" w:rsidP="00B94513">
            <w:pPr>
              <w:spacing w:after="0" w:line="240" w:lineRule="auto"/>
              <w:rPr>
                <w:lang w:val="en-GB"/>
              </w:rPr>
            </w:pPr>
            <w:r>
              <w:rPr>
                <w:lang w:val="en-GB"/>
              </w:rPr>
              <w:t>Context</w:t>
            </w:r>
          </w:p>
        </w:tc>
        <w:tc>
          <w:tcPr>
            <w:tcW w:w="4909" w:type="dxa"/>
            <w:vAlign w:val="center"/>
          </w:tcPr>
          <w:p w14:paraId="3BF30FDA" w14:textId="341B07DF" w:rsidR="00542952" w:rsidRPr="00716F58" w:rsidRDefault="00542952" w:rsidP="00542952">
            <w:pPr>
              <w:spacing w:after="0" w:line="240" w:lineRule="auto"/>
              <w:rPr>
                <w:lang w:val="en-GB"/>
              </w:rPr>
            </w:pPr>
            <w:r w:rsidRPr="00C43E5E">
              <w:t xml:space="preserve">Information on the </w:t>
            </w:r>
            <w:r w:rsidRPr="0081579D">
              <w:t>political, economic, social and security context</w:t>
            </w:r>
            <w:r>
              <w:t xml:space="preserve"> of conflict-affected and high-risk area.</w:t>
            </w:r>
          </w:p>
        </w:tc>
      </w:tr>
      <w:tr w:rsidR="00542952" w:rsidRPr="00716F58" w14:paraId="5E8884AA" w14:textId="77777777" w:rsidTr="00113774">
        <w:trPr>
          <w:jc w:val="center"/>
        </w:trPr>
        <w:tc>
          <w:tcPr>
            <w:tcW w:w="1470" w:type="dxa"/>
            <w:vMerge/>
            <w:vAlign w:val="center"/>
          </w:tcPr>
          <w:p w14:paraId="0D0B1BF7" w14:textId="77777777" w:rsidR="00542952" w:rsidRPr="00716F58" w:rsidRDefault="00542952" w:rsidP="00B94513">
            <w:pPr>
              <w:spacing w:after="0" w:line="240" w:lineRule="auto"/>
              <w:rPr>
                <w:lang w:val="en-GB"/>
              </w:rPr>
            </w:pPr>
          </w:p>
        </w:tc>
        <w:tc>
          <w:tcPr>
            <w:tcW w:w="1516" w:type="dxa"/>
            <w:vMerge/>
            <w:vAlign w:val="center"/>
          </w:tcPr>
          <w:p w14:paraId="7E3C98B6" w14:textId="77777777" w:rsidR="00542952" w:rsidRPr="00716F58" w:rsidRDefault="00542952" w:rsidP="00B94513">
            <w:pPr>
              <w:spacing w:after="0" w:line="240" w:lineRule="auto"/>
              <w:rPr>
                <w:lang w:val="en-GB"/>
              </w:rPr>
            </w:pPr>
          </w:p>
        </w:tc>
        <w:tc>
          <w:tcPr>
            <w:tcW w:w="1573" w:type="dxa"/>
          </w:tcPr>
          <w:p w14:paraId="75BB70FB" w14:textId="0AA45857" w:rsidR="00542952" w:rsidRDefault="00542952" w:rsidP="00B94513">
            <w:pPr>
              <w:spacing w:after="0" w:line="240" w:lineRule="auto"/>
              <w:rPr>
                <w:lang w:val="en-GB"/>
              </w:rPr>
            </w:pPr>
            <w:r>
              <w:rPr>
                <w:lang w:val="en-GB"/>
              </w:rPr>
              <w:t xml:space="preserve">Circumstances: Source </w:t>
            </w:r>
          </w:p>
        </w:tc>
        <w:tc>
          <w:tcPr>
            <w:tcW w:w="4909" w:type="dxa"/>
            <w:vAlign w:val="center"/>
          </w:tcPr>
          <w:p w14:paraId="5DDDC724" w14:textId="77777777" w:rsidR="00542952" w:rsidRDefault="00542952" w:rsidP="00437774">
            <w:pPr>
              <w:numPr>
                <w:ilvl w:val="0"/>
                <w:numId w:val="24"/>
              </w:numPr>
              <w:spacing w:after="0" w:line="240" w:lineRule="auto"/>
              <w:ind w:left="439"/>
            </w:pPr>
            <w:r>
              <w:t>Identification and Know Your Customer information on supply chain actors, e.g.:</w:t>
            </w:r>
          </w:p>
          <w:p w14:paraId="202D9021" w14:textId="77777777" w:rsidR="00542952" w:rsidRDefault="00542952" w:rsidP="00437774">
            <w:pPr>
              <w:numPr>
                <w:ilvl w:val="1"/>
                <w:numId w:val="24"/>
              </w:numPr>
              <w:spacing w:after="0" w:line="240" w:lineRule="auto"/>
            </w:pPr>
            <w:r>
              <w:lastRenderedPageBreak/>
              <w:t>Level 1 Example Document Types for Sources</w:t>
            </w:r>
          </w:p>
          <w:p w14:paraId="0EFF074D" w14:textId="77777777" w:rsidR="00542952" w:rsidRDefault="00542952" w:rsidP="00437774">
            <w:pPr>
              <w:numPr>
                <w:ilvl w:val="1"/>
                <w:numId w:val="24"/>
              </w:numPr>
              <w:spacing w:after="0" w:line="240" w:lineRule="auto"/>
            </w:pPr>
            <w:r>
              <w:t>Government issued mine license</w:t>
            </w:r>
            <w:r>
              <w:rPr>
                <w:rStyle w:val="FootnoteReference"/>
              </w:rPr>
              <w:footnoteReference w:id="11"/>
            </w:r>
          </w:p>
          <w:p w14:paraId="68C7C91F" w14:textId="781DEFA7" w:rsidR="00542952" w:rsidRDefault="00542952" w:rsidP="00437774">
            <w:pPr>
              <w:numPr>
                <w:ilvl w:val="0"/>
                <w:numId w:val="24"/>
              </w:numPr>
              <w:spacing w:after="0" w:line="240" w:lineRule="auto"/>
              <w:ind w:left="439"/>
            </w:pPr>
            <w:r>
              <w:rPr>
                <w:lang w:val="en-GB"/>
              </w:rPr>
              <w:t>Qualitative information on conditions in the supply chain, including:</w:t>
            </w:r>
          </w:p>
          <w:p w14:paraId="0C8475F1" w14:textId="77777777" w:rsidR="00542952" w:rsidRDefault="00542952" w:rsidP="00542952">
            <w:pPr>
              <w:numPr>
                <w:ilvl w:val="1"/>
                <w:numId w:val="24"/>
              </w:numPr>
              <w:spacing w:after="0" w:line="240" w:lineRule="auto"/>
            </w:pPr>
            <w:r>
              <w:t>Presence and / or involvement of armed groups</w:t>
            </w:r>
          </w:p>
          <w:p w14:paraId="50AD4C8E" w14:textId="77777777" w:rsidR="00542952" w:rsidRDefault="00542952" w:rsidP="00542952">
            <w:pPr>
              <w:numPr>
                <w:ilvl w:val="1"/>
                <w:numId w:val="24"/>
              </w:numPr>
              <w:spacing w:after="0" w:line="240" w:lineRule="auto"/>
            </w:pPr>
            <w:r>
              <w:t>Occurrence of serious human rights abuse</w:t>
            </w:r>
          </w:p>
          <w:p w14:paraId="235ED1A8" w14:textId="77777777" w:rsidR="00542952" w:rsidRDefault="00542952" w:rsidP="00542952">
            <w:pPr>
              <w:numPr>
                <w:ilvl w:val="1"/>
                <w:numId w:val="24"/>
              </w:numPr>
              <w:spacing w:after="0" w:line="240" w:lineRule="auto"/>
            </w:pPr>
            <w:r>
              <w:t>Occurrence of child labour</w:t>
            </w:r>
          </w:p>
          <w:p w14:paraId="079DED5B" w14:textId="77777777" w:rsidR="00542952" w:rsidRDefault="00542952" w:rsidP="00542952">
            <w:pPr>
              <w:numPr>
                <w:ilvl w:val="1"/>
                <w:numId w:val="24"/>
              </w:numPr>
              <w:spacing w:after="0" w:line="240" w:lineRule="auto"/>
            </w:pPr>
            <w:r>
              <w:t>Occurrence of forced labour</w:t>
            </w:r>
          </w:p>
          <w:p w14:paraId="50A76EEF" w14:textId="77777777" w:rsidR="00542952" w:rsidRDefault="00542952" w:rsidP="00542952">
            <w:pPr>
              <w:numPr>
                <w:ilvl w:val="1"/>
                <w:numId w:val="24"/>
              </w:numPr>
              <w:spacing w:after="0" w:line="240" w:lineRule="auto"/>
            </w:pPr>
            <w:r>
              <w:t>Presence and role of public or private security forces</w:t>
            </w:r>
          </w:p>
          <w:p w14:paraId="5566C2C4" w14:textId="77777777" w:rsidR="00542952" w:rsidRDefault="00542952" w:rsidP="00542952">
            <w:pPr>
              <w:numPr>
                <w:ilvl w:val="1"/>
                <w:numId w:val="24"/>
              </w:numPr>
              <w:spacing w:after="0" w:line="240" w:lineRule="auto"/>
            </w:pPr>
            <w:r>
              <w:t>Occurrence of bribery, money laundering or non-payment of taxes, fees and royalties</w:t>
            </w:r>
          </w:p>
          <w:p w14:paraId="32EA388F" w14:textId="4F8C7794" w:rsidR="00542952" w:rsidRPr="0012326C" w:rsidRDefault="00542952" w:rsidP="0012326C">
            <w:pPr>
              <w:numPr>
                <w:ilvl w:val="0"/>
                <w:numId w:val="24"/>
              </w:numPr>
              <w:spacing w:after="0" w:line="240" w:lineRule="auto"/>
            </w:pPr>
            <w:r w:rsidRPr="00542952">
              <w:rPr>
                <w:lang w:val="en-GB"/>
              </w:rPr>
              <w:t>Reports or data from supplier, company or external source to validate as known production areas and substantiate the output declared by the source / mine</w:t>
            </w:r>
          </w:p>
        </w:tc>
      </w:tr>
      <w:tr w:rsidR="00C20D89" w:rsidRPr="00716F58" w14:paraId="659A3FED" w14:textId="77777777" w:rsidTr="00113774">
        <w:trPr>
          <w:jc w:val="center"/>
        </w:trPr>
        <w:tc>
          <w:tcPr>
            <w:tcW w:w="1470" w:type="dxa"/>
            <w:vMerge/>
            <w:vAlign w:val="center"/>
          </w:tcPr>
          <w:p w14:paraId="65FA710A" w14:textId="77777777" w:rsidR="00C20D89" w:rsidRPr="00716F58" w:rsidRDefault="00C20D89" w:rsidP="00B94513">
            <w:pPr>
              <w:spacing w:after="0" w:line="240" w:lineRule="auto"/>
              <w:rPr>
                <w:lang w:val="en-GB"/>
              </w:rPr>
            </w:pPr>
          </w:p>
        </w:tc>
        <w:tc>
          <w:tcPr>
            <w:tcW w:w="1516" w:type="dxa"/>
            <w:vMerge/>
            <w:vAlign w:val="center"/>
          </w:tcPr>
          <w:p w14:paraId="53CF6AE4" w14:textId="77777777" w:rsidR="00C20D89" w:rsidRPr="00716F58" w:rsidRDefault="00C20D89" w:rsidP="00B94513">
            <w:pPr>
              <w:spacing w:after="0" w:line="240" w:lineRule="auto"/>
              <w:rPr>
                <w:lang w:val="en-GB"/>
              </w:rPr>
            </w:pPr>
          </w:p>
        </w:tc>
        <w:tc>
          <w:tcPr>
            <w:tcW w:w="1573" w:type="dxa"/>
          </w:tcPr>
          <w:p w14:paraId="574499FF" w14:textId="5273997F" w:rsidR="00C20D89" w:rsidRDefault="00C20D89" w:rsidP="00B94513">
            <w:pPr>
              <w:spacing w:after="0" w:line="240" w:lineRule="auto"/>
              <w:rPr>
                <w:lang w:val="en-GB"/>
              </w:rPr>
            </w:pPr>
            <w:r>
              <w:rPr>
                <w:lang w:val="en-GB"/>
              </w:rPr>
              <w:t>Chain of Custody or Traceability</w:t>
            </w:r>
          </w:p>
        </w:tc>
        <w:tc>
          <w:tcPr>
            <w:tcW w:w="4909" w:type="dxa"/>
            <w:vAlign w:val="center"/>
          </w:tcPr>
          <w:p w14:paraId="6BA614D8" w14:textId="77777777" w:rsidR="00C20D89" w:rsidRDefault="00C20D89" w:rsidP="00A773A2">
            <w:pPr>
              <w:numPr>
                <w:ilvl w:val="0"/>
                <w:numId w:val="24"/>
              </w:numPr>
              <w:spacing w:after="0" w:line="240" w:lineRule="auto"/>
              <w:ind w:left="439"/>
            </w:pPr>
            <w:r w:rsidRPr="00C43E5E">
              <w:t>Validation of</w:t>
            </w:r>
            <w:r>
              <w:t xml:space="preserve"> chain of custody or</w:t>
            </w:r>
            <w:r w:rsidRPr="00C43E5E">
              <w:t xml:space="preserve"> traceability from mine to smelter, e.g.:</w:t>
            </w:r>
          </w:p>
          <w:p w14:paraId="5D7A9F4C" w14:textId="77777777" w:rsidR="00C20D89" w:rsidRDefault="00C20D89" w:rsidP="00A773A2">
            <w:pPr>
              <w:numPr>
                <w:ilvl w:val="1"/>
                <w:numId w:val="24"/>
              </w:numPr>
              <w:spacing w:after="0" w:line="240" w:lineRule="auto"/>
            </w:pPr>
            <w:r>
              <w:t>Level 1 Example Document Types for Transportation for each step of the supply chain</w:t>
            </w:r>
          </w:p>
          <w:p w14:paraId="443E17FA" w14:textId="77777777" w:rsidR="00C20D89" w:rsidRDefault="00C20D89" w:rsidP="00A773A2">
            <w:pPr>
              <w:numPr>
                <w:ilvl w:val="1"/>
                <w:numId w:val="24"/>
              </w:numPr>
              <w:spacing w:after="0" w:line="240" w:lineRule="auto"/>
            </w:pPr>
            <w:r>
              <w:t>Identification of all location(s) in the supply chain</w:t>
            </w:r>
          </w:p>
          <w:p w14:paraId="7DD4BE6C" w14:textId="1D2AA4D8" w:rsidR="00C20D89" w:rsidRPr="0012326C" w:rsidRDefault="00C20D89" w:rsidP="0012326C">
            <w:pPr>
              <w:numPr>
                <w:ilvl w:val="1"/>
                <w:numId w:val="24"/>
              </w:numPr>
              <w:spacing w:after="0" w:line="240" w:lineRule="auto"/>
            </w:pPr>
            <w:r>
              <w:t>Chain of Custody or Traceability information</w:t>
            </w:r>
          </w:p>
        </w:tc>
      </w:tr>
      <w:tr w:rsidR="00542952" w:rsidRPr="00716F58" w14:paraId="4C7993B6" w14:textId="77777777" w:rsidTr="00113774">
        <w:trPr>
          <w:jc w:val="center"/>
        </w:trPr>
        <w:tc>
          <w:tcPr>
            <w:tcW w:w="1470" w:type="dxa"/>
            <w:vMerge/>
            <w:vAlign w:val="center"/>
          </w:tcPr>
          <w:p w14:paraId="2CE09A3C" w14:textId="5A841DDE" w:rsidR="00542952" w:rsidRPr="00716F58" w:rsidRDefault="00542952" w:rsidP="00B94513">
            <w:pPr>
              <w:spacing w:after="0" w:line="240" w:lineRule="auto"/>
              <w:rPr>
                <w:lang w:val="en-GB"/>
              </w:rPr>
            </w:pPr>
          </w:p>
        </w:tc>
        <w:tc>
          <w:tcPr>
            <w:tcW w:w="1516" w:type="dxa"/>
            <w:vMerge/>
            <w:vAlign w:val="center"/>
          </w:tcPr>
          <w:p w14:paraId="3F89C6AD" w14:textId="77777777" w:rsidR="00542952" w:rsidRPr="00716F58" w:rsidRDefault="00542952" w:rsidP="00B94513">
            <w:pPr>
              <w:spacing w:after="0" w:line="240" w:lineRule="auto"/>
              <w:rPr>
                <w:lang w:val="en-GB"/>
              </w:rPr>
            </w:pPr>
          </w:p>
        </w:tc>
        <w:tc>
          <w:tcPr>
            <w:tcW w:w="1573" w:type="dxa"/>
          </w:tcPr>
          <w:p w14:paraId="2397B8FF" w14:textId="479AAD1B" w:rsidR="00542952" w:rsidRDefault="00542952" w:rsidP="00B94513">
            <w:pPr>
              <w:spacing w:after="0" w:line="240" w:lineRule="auto"/>
              <w:rPr>
                <w:lang w:val="en-GB"/>
              </w:rPr>
            </w:pPr>
            <w:r>
              <w:rPr>
                <w:lang w:val="en-GB"/>
              </w:rPr>
              <w:t>Risk Assessment</w:t>
            </w:r>
          </w:p>
        </w:tc>
        <w:tc>
          <w:tcPr>
            <w:tcW w:w="4909" w:type="dxa"/>
            <w:vAlign w:val="center"/>
          </w:tcPr>
          <w:p w14:paraId="71761D98" w14:textId="77777777" w:rsidR="00437774" w:rsidRPr="0012326C" w:rsidRDefault="00542952" w:rsidP="0012326C">
            <w:pPr>
              <w:numPr>
                <w:ilvl w:val="0"/>
                <w:numId w:val="24"/>
              </w:numPr>
              <w:spacing w:after="0" w:line="240" w:lineRule="auto"/>
              <w:ind w:left="439"/>
              <w:rPr>
                <w:lang w:val="en-GB"/>
              </w:rPr>
            </w:pPr>
            <w:r w:rsidRPr="00C43E5E">
              <w:t>Risk Assessment</w:t>
            </w:r>
          </w:p>
          <w:p w14:paraId="2F580419" w14:textId="5EA20B6C" w:rsidR="00F16FD6" w:rsidRDefault="00F16FD6" w:rsidP="0012326C">
            <w:pPr>
              <w:numPr>
                <w:ilvl w:val="0"/>
                <w:numId w:val="24"/>
              </w:numPr>
              <w:spacing w:after="0" w:line="240" w:lineRule="auto"/>
              <w:ind w:left="439"/>
              <w:rPr>
                <w:lang w:val="en-GB"/>
              </w:rPr>
            </w:pPr>
            <w:r>
              <w:t>Upstream Risk Assessment</w:t>
            </w:r>
          </w:p>
          <w:p w14:paraId="0EA0DE37" w14:textId="5B5A3D63" w:rsidR="00542952" w:rsidRPr="00437774" w:rsidRDefault="00542952" w:rsidP="0012326C">
            <w:pPr>
              <w:numPr>
                <w:ilvl w:val="0"/>
                <w:numId w:val="24"/>
              </w:numPr>
              <w:spacing w:after="0" w:line="240" w:lineRule="auto"/>
              <w:ind w:left="439"/>
              <w:rPr>
                <w:lang w:val="en-GB"/>
              </w:rPr>
            </w:pPr>
            <w:r>
              <w:t>On-going monitoring of risks</w:t>
            </w:r>
          </w:p>
        </w:tc>
      </w:tr>
      <w:tr w:rsidR="00542952" w:rsidRPr="00716F58" w14:paraId="175927C7" w14:textId="77777777" w:rsidTr="00113774">
        <w:trPr>
          <w:jc w:val="center"/>
        </w:trPr>
        <w:tc>
          <w:tcPr>
            <w:tcW w:w="1470" w:type="dxa"/>
            <w:vMerge/>
            <w:vAlign w:val="center"/>
          </w:tcPr>
          <w:p w14:paraId="6420A8B9" w14:textId="77777777" w:rsidR="00542952" w:rsidRPr="00716F58" w:rsidRDefault="00542952" w:rsidP="00B94513">
            <w:pPr>
              <w:spacing w:after="0" w:line="240" w:lineRule="auto"/>
              <w:rPr>
                <w:lang w:val="en-GB"/>
              </w:rPr>
            </w:pPr>
          </w:p>
        </w:tc>
        <w:tc>
          <w:tcPr>
            <w:tcW w:w="1516" w:type="dxa"/>
            <w:vMerge/>
            <w:vAlign w:val="center"/>
          </w:tcPr>
          <w:p w14:paraId="53F5B485" w14:textId="77777777" w:rsidR="00542952" w:rsidRPr="00716F58" w:rsidRDefault="00542952" w:rsidP="00B94513">
            <w:pPr>
              <w:spacing w:after="0" w:line="240" w:lineRule="auto"/>
              <w:rPr>
                <w:lang w:val="en-GB"/>
              </w:rPr>
            </w:pPr>
          </w:p>
        </w:tc>
        <w:tc>
          <w:tcPr>
            <w:tcW w:w="1573" w:type="dxa"/>
          </w:tcPr>
          <w:p w14:paraId="141B4110" w14:textId="13E7D5A4" w:rsidR="00542952" w:rsidRDefault="00542952" w:rsidP="00B94513">
            <w:pPr>
              <w:spacing w:after="0" w:line="240" w:lineRule="auto"/>
              <w:rPr>
                <w:lang w:val="en-GB"/>
              </w:rPr>
            </w:pPr>
            <w:r>
              <w:rPr>
                <w:lang w:val="en-GB"/>
              </w:rPr>
              <w:t>Risk Mitigation</w:t>
            </w:r>
          </w:p>
        </w:tc>
        <w:tc>
          <w:tcPr>
            <w:tcW w:w="4909" w:type="dxa"/>
            <w:vAlign w:val="center"/>
          </w:tcPr>
          <w:p w14:paraId="3FFBB923" w14:textId="77777777" w:rsidR="00542952" w:rsidRPr="00C43E5E" w:rsidRDefault="00542952" w:rsidP="00437774">
            <w:pPr>
              <w:numPr>
                <w:ilvl w:val="0"/>
                <w:numId w:val="24"/>
              </w:numPr>
              <w:spacing w:after="0" w:line="240" w:lineRule="auto"/>
              <w:ind w:left="439"/>
            </w:pPr>
            <w:r w:rsidRPr="00C43E5E">
              <w:t>Risk Mitigation Plan</w:t>
            </w:r>
          </w:p>
          <w:p w14:paraId="03FE8E4F" w14:textId="77777777" w:rsidR="00F16FD6" w:rsidRDefault="00542952" w:rsidP="0012326C">
            <w:pPr>
              <w:numPr>
                <w:ilvl w:val="0"/>
                <w:numId w:val="24"/>
              </w:numPr>
              <w:spacing w:after="0" w:line="240" w:lineRule="auto"/>
              <w:ind w:left="439"/>
              <w:rPr>
                <w:lang w:val="en-GB"/>
              </w:rPr>
            </w:pPr>
            <w:r w:rsidRPr="00C43E5E">
              <w:t>Internal Reporting</w:t>
            </w:r>
          </w:p>
          <w:p w14:paraId="749BC81E" w14:textId="57A610E3" w:rsidR="00542952" w:rsidRPr="00F16FD6" w:rsidRDefault="00542952" w:rsidP="0012326C">
            <w:pPr>
              <w:numPr>
                <w:ilvl w:val="0"/>
                <w:numId w:val="24"/>
              </w:numPr>
              <w:spacing w:after="0" w:line="240" w:lineRule="auto"/>
              <w:ind w:left="439"/>
              <w:rPr>
                <w:lang w:val="en-GB"/>
              </w:rPr>
            </w:pPr>
            <w:r>
              <w:t>Monitoring and tracking of performance on risk mitigation</w:t>
            </w:r>
          </w:p>
        </w:tc>
      </w:tr>
      <w:tr w:rsidR="00F16FD6" w:rsidRPr="00716F58" w14:paraId="2D79D1D2" w14:textId="77777777" w:rsidTr="005E2F04">
        <w:trPr>
          <w:jc w:val="center"/>
        </w:trPr>
        <w:tc>
          <w:tcPr>
            <w:tcW w:w="1470" w:type="dxa"/>
            <w:vMerge w:val="restart"/>
            <w:vAlign w:val="center"/>
          </w:tcPr>
          <w:p w14:paraId="2DC926A8" w14:textId="68D8A4C7" w:rsidR="00F16FD6" w:rsidRPr="00716F58" w:rsidRDefault="00F16FD6" w:rsidP="00B94513">
            <w:pPr>
              <w:spacing w:after="0" w:line="240" w:lineRule="auto"/>
              <w:rPr>
                <w:lang w:val="en-GB"/>
              </w:rPr>
            </w:pPr>
            <w:r>
              <w:rPr>
                <w:lang w:val="en-GB"/>
              </w:rPr>
              <w:t>Mined Materials Other CAHRAs</w:t>
            </w:r>
          </w:p>
        </w:tc>
        <w:tc>
          <w:tcPr>
            <w:tcW w:w="1516" w:type="dxa"/>
            <w:vMerge w:val="restart"/>
            <w:vAlign w:val="center"/>
          </w:tcPr>
          <w:p w14:paraId="18DCCECE" w14:textId="68FDCA40" w:rsidR="00F16FD6" w:rsidRPr="00716F58" w:rsidRDefault="00F16FD6" w:rsidP="00B94513">
            <w:pPr>
              <w:spacing w:after="0" w:line="240" w:lineRule="auto"/>
              <w:rPr>
                <w:lang w:val="en-GB"/>
              </w:rPr>
            </w:pPr>
            <w:r w:rsidRPr="00716F58">
              <w:rPr>
                <w:lang w:val="en-GB"/>
              </w:rPr>
              <w:t>OE</w:t>
            </w:r>
            <w:r>
              <w:rPr>
                <w:lang w:val="en-GB"/>
              </w:rPr>
              <w:t xml:space="preserve">CD </w:t>
            </w:r>
            <w:r w:rsidRPr="00716F58">
              <w:rPr>
                <w:lang w:val="en-GB"/>
              </w:rPr>
              <w:t>Conformant Process</w:t>
            </w:r>
          </w:p>
        </w:tc>
        <w:tc>
          <w:tcPr>
            <w:tcW w:w="6482" w:type="dxa"/>
            <w:gridSpan w:val="2"/>
          </w:tcPr>
          <w:p w14:paraId="14374044" w14:textId="77777777" w:rsidR="00F16FD6" w:rsidRPr="00123951" w:rsidRDefault="00F16FD6" w:rsidP="0012326C">
            <w:pPr>
              <w:spacing w:after="0" w:line="240" w:lineRule="auto"/>
              <w:rPr>
                <w:lang w:val="en-GB"/>
              </w:rPr>
            </w:pPr>
            <w:r w:rsidRPr="00F37DBE">
              <w:t>Records to demonstrate conformance with OECD Due Diligence Guidance, Supplement on Tin, Tantalum and Tungsten, Step 2 Identify and Asse</w:t>
            </w:r>
            <w:r>
              <w:t xml:space="preserve">ss Risks in the Supply Chain, </w:t>
            </w:r>
            <w:r w:rsidRPr="00F37DBE">
              <w:t>Sub-Section I.A, I.B and I.C.</w:t>
            </w:r>
          </w:p>
          <w:p w14:paraId="06DE21B3" w14:textId="77777777" w:rsidR="00F16FD6" w:rsidRDefault="00F16FD6" w:rsidP="0012326C">
            <w:pPr>
              <w:spacing w:after="0" w:line="240" w:lineRule="auto"/>
            </w:pPr>
          </w:p>
          <w:p w14:paraId="26A92EAC" w14:textId="77777777" w:rsidR="00F16FD6" w:rsidRPr="00502A81" w:rsidRDefault="00F16FD6" w:rsidP="0012326C">
            <w:pPr>
              <w:spacing w:after="0" w:line="240" w:lineRule="auto"/>
              <w:rPr>
                <w:lang w:val="en-GB"/>
              </w:rPr>
            </w:pPr>
            <w:r w:rsidRPr="003570C7">
              <w:t xml:space="preserve">Records to demonstrate conformance with OECD Due Diligence </w:t>
            </w:r>
            <w:r w:rsidRPr="003570C7">
              <w:lastRenderedPageBreak/>
              <w:t xml:space="preserve">Guidance, Supplement on Tin, Tantalum and Tungsten, Step 3 Design and Implement a Strategy to Respond to Identified Risks, Sub-Sections A, B.1, </w:t>
            </w:r>
            <w:r>
              <w:t>B.2.a).i), B.2.b)i), C.1 and D.</w:t>
            </w:r>
          </w:p>
          <w:p w14:paraId="12BF78B7" w14:textId="77777777" w:rsidR="00F16FD6" w:rsidRDefault="00F16FD6" w:rsidP="00F16FD6">
            <w:pPr>
              <w:spacing w:after="0" w:line="240" w:lineRule="auto"/>
              <w:rPr>
                <w:rFonts w:cs="Calibri"/>
                <w:b/>
              </w:rPr>
            </w:pPr>
          </w:p>
          <w:p w14:paraId="43703847" w14:textId="77777777" w:rsidR="00F16FD6" w:rsidRPr="00502A81" w:rsidRDefault="00F16FD6" w:rsidP="00F16FD6">
            <w:pPr>
              <w:spacing w:after="0" w:line="240" w:lineRule="auto"/>
              <w:rPr>
                <w:rFonts w:cs="Calibri"/>
                <w:b/>
              </w:rPr>
            </w:pPr>
            <w:r w:rsidRPr="00502A81">
              <w:rPr>
                <w:rFonts w:cs="Calibri"/>
                <w:b/>
              </w:rPr>
              <w:t>OR</w:t>
            </w:r>
          </w:p>
          <w:p w14:paraId="729A8A10" w14:textId="77777777" w:rsidR="00F16FD6" w:rsidRDefault="00F16FD6" w:rsidP="0012326C">
            <w:pPr>
              <w:spacing w:after="0"/>
              <w:rPr>
                <w:lang w:val="en-GB"/>
              </w:rPr>
            </w:pPr>
          </w:p>
          <w:p w14:paraId="432BD3AF" w14:textId="77777777" w:rsidR="00F16FD6" w:rsidRPr="00F16FD6" w:rsidRDefault="00F16FD6" w:rsidP="00F16FD6">
            <w:pPr>
              <w:pStyle w:val="ListParagraph"/>
              <w:numPr>
                <w:ilvl w:val="0"/>
                <w:numId w:val="50"/>
              </w:numPr>
              <w:spacing w:after="0"/>
              <w:ind w:left="432"/>
              <w:rPr>
                <w:lang w:val="en-GB"/>
              </w:rPr>
            </w:pPr>
            <w:r w:rsidRPr="00F16FD6">
              <w:rPr>
                <w:lang w:val="en-GB"/>
              </w:rPr>
              <w:t>A plan to achieve full conformance with the OECD Due Diligence Guidance over a period of three (3) years.</w:t>
            </w:r>
          </w:p>
          <w:p w14:paraId="0364BCE4" w14:textId="77777777" w:rsidR="00F16FD6" w:rsidRPr="00992636" w:rsidRDefault="00F16FD6" w:rsidP="00F16FD6">
            <w:pPr>
              <w:pStyle w:val="ListParagraph"/>
              <w:numPr>
                <w:ilvl w:val="0"/>
                <w:numId w:val="50"/>
              </w:numPr>
              <w:spacing w:after="0"/>
              <w:ind w:left="432"/>
            </w:pPr>
            <w:r w:rsidRPr="002759E7">
              <w:rPr>
                <w:lang w:val="en-GB"/>
              </w:rPr>
              <w:t>Records demonstrating the tracking and monitoring of performance of the plan</w:t>
            </w:r>
            <w:r>
              <w:rPr>
                <w:lang w:val="en-GB"/>
              </w:rPr>
              <w:t>.</w:t>
            </w:r>
          </w:p>
          <w:p w14:paraId="4AAF21E9" w14:textId="77777777" w:rsidR="00F16FD6" w:rsidRPr="00502A81" w:rsidRDefault="00F16FD6" w:rsidP="00F16FD6">
            <w:pPr>
              <w:pStyle w:val="ListParagraph"/>
              <w:numPr>
                <w:ilvl w:val="0"/>
                <w:numId w:val="50"/>
              </w:numPr>
              <w:spacing w:after="0"/>
              <w:ind w:left="432"/>
            </w:pPr>
            <w:r w:rsidRPr="002759E7">
              <w:rPr>
                <w:lang w:val="en-GB"/>
              </w:rPr>
              <w:t>Records demonstrating progress in the implementation of the plan.</w:t>
            </w:r>
          </w:p>
          <w:p w14:paraId="3BB4D27E" w14:textId="77777777" w:rsidR="00F16FD6" w:rsidRDefault="00F16FD6" w:rsidP="0012326C">
            <w:pPr>
              <w:spacing w:after="0" w:line="240" w:lineRule="auto"/>
            </w:pPr>
          </w:p>
          <w:p w14:paraId="07DBBCCF" w14:textId="570EAF6E" w:rsidR="00FD6E13" w:rsidRPr="0012326C" w:rsidRDefault="00FD6E13" w:rsidP="0012326C">
            <w:pPr>
              <w:spacing w:after="0" w:line="240" w:lineRule="auto"/>
              <w:rPr>
                <w:b/>
                <w:lang w:val="en-GB"/>
              </w:rPr>
            </w:pPr>
            <w:r w:rsidRPr="00C43E5E">
              <w:rPr>
                <w:b/>
                <w:lang w:val="en-GB"/>
              </w:rPr>
              <w:t xml:space="preserve">The sections below define required information to be provided during the CFSP audit. For further guidance on specific document types, please refer to the OECD Conformance Tool or the OECD Due Diligence Guidance. </w:t>
            </w:r>
          </w:p>
          <w:p w14:paraId="13E71550" w14:textId="77777777" w:rsidR="00FD6E13" w:rsidRPr="00BF5128" w:rsidRDefault="00FD6E13" w:rsidP="0012326C">
            <w:pPr>
              <w:spacing w:after="0" w:line="240" w:lineRule="auto"/>
            </w:pPr>
          </w:p>
          <w:p w14:paraId="69F66B28" w14:textId="6B44DEED" w:rsidR="00F16FD6" w:rsidRPr="0012326C" w:rsidRDefault="00F16FD6" w:rsidP="00F16FD6">
            <w:pPr>
              <w:spacing w:after="0" w:line="240" w:lineRule="auto"/>
            </w:pPr>
            <w:r>
              <w:rPr>
                <w:rFonts w:cs="Calibri"/>
              </w:rPr>
              <w:t>Documentation requirements to demonstrate conformance with the OECD Due Diligence Guidance may be reduced if the smelters has undergone an independent assessment as part of an upstream assurance system. The final scope for the CFSP audit will be determined based on the completed OECD conformance tool.</w:t>
            </w:r>
          </w:p>
        </w:tc>
      </w:tr>
      <w:tr w:rsidR="00F16FD6" w:rsidRPr="00716F58" w14:paraId="1E72C940" w14:textId="77777777" w:rsidTr="00113774">
        <w:trPr>
          <w:jc w:val="center"/>
        </w:trPr>
        <w:tc>
          <w:tcPr>
            <w:tcW w:w="1470" w:type="dxa"/>
            <w:vMerge/>
            <w:vAlign w:val="center"/>
          </w:tcPr>
          <w:p w14:paraId="05023DB2" w14:textId="77777777" w:rsidR="00F16FD6" w:rsidRPr="00716F58" w:rsidRDefault="00F16FD6" w:rsidP="00B94513">
            <w:pPr>
              <w:spacing w:after="0" w:line="240" w:lineRule="auto"/>
              <w:rPr>
                <w:lang w:val="en-GB"/>
              </w:rPr>
            </w:pPr>
          </w:p>
        </w:tc>
        <w:tc>
          <w:tcPr>
            <w:tcW w:w="1516" w:type="dxa"/>
            <w:vMerge/>
            <w:vAlign w:val="center"/>
          </w:tcPr>
          <w:p w14:paraId="42057762" w14:textId="77777777" w:rsidR="00F16FD6" w:rsidRPr="00716F58" w:rsidRDefault="00F16FD6" w:rsidP="00B94513">
            <w:pPr>
              <w:spacing w:after="0" w:line="240" w:lineRule="auto"/>
              <w:rPr>
                <w:lang w:val="en-GB"/>
              </w:rPr>
            </w:pPr>
          </w:p>
        </w:tc>
        <w:tc>
          <w:tcPr>
            <w:tcW w:w="1573" w:type="dxa"/>
          </w:tcPr>
          <w:p w14:paraId="66C1BA66" w14:textId="320171DE" w:rsidR="00F16FD6" w:rsidRPr="00716F58" w:rsidRDefault="00F16FD6" w:rsidP="00F207CF">
            <w:pPr>
              <w:spacing w:after="0" w:line="240" w:lineRule="auto"/>
              <w:rPr>
                <w:lang w:val="en-GB"/>
              </w:rPr>
            </w:pPr>
            <w:r>
              <w:rPr>
                <w:lang w:val="en-GB"/>
              </w:rPr>
              <w:t>Management System</w:t>
            </w:r>
          </w:p>
        </w:tc>
        <w:tc>
          <w:tcPr>
            <w:tcW w:w="4909" w:type="dxa"/>
            <w:vAlign w:val="center"/>
          </w:tcPr>
          <w:p w14:paraId="3118C60E" w14:textId="7C7A1B26" w:rsidR="00F16FD6" w:rsidRPr="00716F58" w:rsidRDefault="00F16FD6" w:rsidP="00F207CF">
            <w:pPr>
              <w:spacing w:after="0" w:line="240" w:lineRule="auto"/>
              <w:rPr>
                <w:lang w:val="en-GB"/>
              </w:rPr>
            </w:pPr>
            <w:r w:rsidRPr="00640D52">
              <w:t>The completed CFSP OECD Conformance Tool</w:t>
            </w:r>
          </w:p>
        </w:tc>
      </w:tr>
      <w:tr w:rsidR="00F16FD6" w:rsidRPr="00716F58" w14:paraId="1F8A115C" w14:textId="77777777" w:rsidTr="00113774">
        <w:trPr>
          <w:jc w:val="center"/>
        </w:trPr>
        <w:tc>
          <w:tcPr>
            <w:tcW w:w="1470" w:type="dxa"/>
            <w:vMerge/>
            <w:vAlign w:val="center"/>
          </w:tcPr>
          <w:p w14:paraId="43779340" w14:textId="77777777" w:rsidR="00F16FD6" w:rsidRPr="00716F58" w:rsidRDefault="00F16FD6" w:rsidP="00B94513">
            <w:pPr>
              <w:spacing w:after="0" w:line="240" w:lineRule="auto"/>
              <w:rPr>
                <w:lang w:val="en-GB"/>
              </w:rPr>
            </w:pPr>
          </w:p>
        </w:tc>
        <w:tc>
          <w:tcPr>
            <w:tcW w:w="1516" w:type="dxa"/>
            <w:vMerge/>
            <w:vAlign w:val="center"/>
          </w:tcPr>
          <w:p w14:paraId="5D58E5E0" w14:textId="77777777" w:rsidR="00F16FD6" w:rsidRPr="00716F58" w:rsidRDefault="00F16FD6" w:rsidP="00B94513">
            <w:pPr>
              <w:spacing w:after="0" w:line="240" w:lineRule="auto"/>
              <w:rPr>
                <w:lang w:val="en-GB"/>
              </w:rPr>
            </w:pPr>
          </w:p>
        </w:tc>
        <w:tc>
          <w:tcPr>
            <w:tcW w:w="1573" w:type="dxa"/>
          </w:tcPr>
          <w:p w14:paraId="3677A43B" w14:textId="73708846" w:rsidR="00F16FD6" w:rsidRPr="00716F58" w:rsidRDefault="00F16FD6" w:rsidP="00F207CF">
            <w:pPr>
              <w:spacing w:after="0" w:line="240" w:lineRule="auto"/>
              <w:rPr>
                <w:lang w:val="en-GB"/>
              </w:rPr>
            </w:pPr>
            <w:r>
              <w:rPr>
                <w:lang w:val="en-GB"/>
              </w:rPr>
              <w:t>Context</w:t>
            </w:r>
          </w:p>
        </w:tc>
        <w:tc>
          <w:tcPr>
            <w:tcW w:w="4909" w:type="dxa"/>
            <w:vAlign w:val="center"/>
          </w:tcPr>
          <w:p w14:paraId="26E44DD1" w14:textId="3F28CEDB" w:rsidR="00F16FD6" w:rsidRPr="00716F58" w:rsidRDefault="00F16FD6" w:rsidP="00F207CF">
            <w:pPr>
              <w:spacing w:after="0" w:line="240" w:lineRule="auto"/>
              <w:rPr>
                <w:lang w:val="en-GB"/>
              </w:rPr>
            </w:pPr>
            <w:r w:rsidRPr="00C43E5E">
              <w:t xml:space="preserve">Information on the </w:t>
            </w:r>
            <w:r w:rsidRPr="0081579D">
              <w:t>political, economic, social and security context</w:t>
            </w:r>
            <w:r>
              <w:t xml:space="preserve"> of conflict-affected and high-risk area.</w:t>
            </w:r>
          </w:p>
        </w:tc>
      </w:tr>
      <w:tr w:rsidR="00F16FD6" w:rsidRPr="00716F58" w14:paraId="6E327F82" w14:textId="77777777" w:rsidTr="00113774">
        <w:trPr>
          <w:jc w:val="center"/>
        </w:trPr>
        <w:tc>
          <w:tcPr>
            <w:tcW w:w="1470" w:type="dxa"/>
            <w:vMerge/>
            <w:vAlign w:val="center"/>
          </w:tcPr>
          <w:p w14:paraId="66D17D7A" w14:textId="77777777" w:rsidR="00F16FD6" w:rsidRPr="00716F58" w:rsidRDefault="00F16FD6" w:rsidP="00B94513">
            <w:pPr>
              <w:spacing w:after="0" w:line="240" w:lineRule="auto"/>
              <w:rPr>
                <w:lang w:val="en-GB"/>
              </w:rPr>
            </w:pPr>
          </w:p>
        </w:tc>
        <w:tc>
          <w:tcPr>
            <w:tcW w:w="1516" w:type="dxa"/>
            <w:vMerge/>
            <w:vAlign w:val="center"/>
          </w:tcPr>
          <w:p w14:paraId="0DC79E6B" w14:textId="77777777" w:rsidR="00F16FD6" w:rsidRPr="00716F58" w:rsidRDefault="00F16FD6" w:rsidP="00B94513">
            <w:pPr>
              <w:spacing w:after="0" w:line="240" w:lineRule="auto"/>
              <w:rPr>
                <w:lang w:val="en-GB"/>
              </w:rPr>
            </w:pPr>
          </w:p>
        </w:tc>
        <w:tc>
          <w:tcPr>
            <w:tcW w:w="1573" w:type="dxa"/>
          </w:tcPr>
          <w:p w14:paraId="3E153454" w14:textId="1B9470EA" w:rsidR="00F16FD6" w:rsidRPr="00716F58" w:rsidRDefault="00F16FD6" w:rsidP="00F207CF">
            <w:pPr>
              <w:spacing w:after="0" w:line="240" w:lineRule="auto"/>
              <w:rPr>
                <w:lang w:val="en-GB"/>
              </w:rPr>
            </w:pPr>
            <w:r>
              <w:rPr>
                <w:lang w:val="en-GB"/>
              </w:rPr>
              <w:t xml:space="preserve">Circumstances: Source </w:t>
            </w:r>
          </w:p>
        </w:tc>
        <w:tc>
          <w:tcPr>
            <w:tcW w:w="4909" w:type="dxa"/>
            <w:vAlign w:val="center"/>
          </w:tcPr>
          <w:p w14:paraId="571CF96C" w14:textId="77777777" w:rsidR="00F16FD6" w:rsidRDefault="00F16FD6" w:rsidP="005E2F04">
            <w:pPr>
              <w:numPr>
                <w:ilvl w:val="0"/>
                <w:numId w:val="24"/>
              </w:numPr>
              <w:spacing w:after="0" w:line="240" w:lineRule="auto"/>
              <w:ind w:left="439"/>
            </w:pPr>
            <w:r>
              <w:t>Identification and Know Your Customer information on supply chain actors, e.g.:</w:t>
            </w:r>
          </w:p>
          <w:p w14:paraId="0D9992AF" w14:textId="77777777" w:rsidR="00F16FD6" w:rsidRDefault="00F16FD6" w:rsidP="005E2F04">
            <w:pPr>
              <w:numPr>
                <w:ilvl w:val="1"/>
                <w:numId w:val="24"/>
              </w:numPr>
              <w:spacing w:after="0" w:line="240" w:lineRule="auto"/>
            </w:pPr>
            <w:r>
              <w:t>Level 1 Example Document Types for Sources</w:t>
            </w:r>
          </w:p>
          <w:p w14:paraId="579CED02" w14:textId="77777777" w:rsidR="00F16FD6" w:rsidRDefault="00F16FD6" w:rsidP="005E2F04">
            <w:pPr>
              <w:numPr>
                <w:ilvl w:val="1"/>
                <w:numId w:val="24"/>
              </w:numPr>
              <w:spacing w:after="0" w:line="240" w:lineRule="auto"/>
            </w:pPr>
            <w:r>
              <w:t>Government issued mine license</w:t>
            </w:r>
            <w:r>
              <w:rPr>
                <w:rStyle w:val="FootnoteReference"/>
              </w:rPr>
              <w:footnoteReference w:id="12"/>
            </w:r>
          </w:p>
          <w:p w14:paraId="3A3D50BA" w14:textId="77777777" w:rsidR="00F16FD6" w:rsidRDefault="00F16FD6" w:rsidP="005E2F04">
            <w:pPr>
              <w:numPr>
                <w:ilvl w:val="0"/>
                <w:numId w:val="24"/>
              </w:numPr>
              <w:spacing w:after="0" w:line="240" w:lineRule="auto"/>
              <w:ind w:left="439"/>
            </w:pPr>
            <w:r>
              <w:rPr>
                <w:lang w:val="en-GB"/>
              </w:rPr>
              <w:t>Qualitative information on conditions in the supply chain, including:</w:t>
            </w:r>
          </w:p>
          <w:p w14:paraId="5D4EB1BB" w14:textId="77777777" w:rsidR="00F16FD6" w:rsidRDefault="00F16FD6" w:rsidP="005E2F04">
            <w:pPr>
              <w:numPr>
                <w:ilvl w:val="1"/>
                <w:numId w:val="24"/>
              </w:numPr>
              <w:spacing w:after="0" w:line="240" w:lineRule="auto"/>
            </w:pPr>
            <w:r>
              <w:t>Presence and / or involvement of armed groups</w:t>
            </w:r>
          </w:p>
          <w:p w14:paraId="2F053BAF" w14:textId="77777777" w:rsidR="00F16FD6" w:rsidRDefault="00F16FD6" w:rsidP="005E2F04">
            <w:pPr>
              <w:numPr>
                <w:ilvl w:val="1"/>
                <w:numId w:val="24"/>
              </w:numPr>
              <w:spacing w:after="0" w:line="240" w:lineRule="auto"/>
            </w:pPr>
            <w:r>
              <w:t>Occurrence of serious human rights abuse</w:t>
            </w:r>
          </w:p>
          <w:p w14:paraId="76CF7FDD" w14:textId="77777777" w:rsidR="00F16FD6" w:rsidRDefault="00F16FD6" w:rsidP="005E2F04">
            <w:pPr>
              <w:numPr>
                <w:ilvl w:val="1"/>
                <w:numId w:val="24"/>
              </w:numPr>
              <w:spacing w:after="0" w:line="240" w:lineRule="auto"/>
            </w:pPr>
            <w:r>
              <w:t>Occurrence of child labour</w:t>
            </w:r>
          </w:p>
          <w:p w14:paraId="11693294" w14:textId="77777777" w:rsidR="00F16FD6" w:rsidRDefault="00F16FD6" w:rsidP="005E2F04">
            <w:pPr>
              <w:numPr>
                <w:ilvl w:val="1"/>
                <w:numId w:val="24"/>
              </w:numPr>
              <w:spacing w:after="0" w:line="240" w:lineRule="auto"/>
            </w:pPr>
            <w:r>
              <w:t>Occurrence of forced labour</w:t>
            </w:r>
          </w:p>
          <w:p w14:paraId="0BC623D2" w14:textId="77777777" w:rsidR="00F16FD6" w:rsidRDefault="00F16FD6" w:rsidP="005E2F04">
            <w:pPr>
              <w:numPr>
                <w:ilvl w:val="1"/>
                <w:numId w:val="24"/>
              </w:numPr>
              <w:spacing w:after="0" w:line="240" w:lineRule="auto"/>
            </w:pPr>
            <w:r>
              <w:lastRenderedPageBreak/>
              <w:t>Presence and role of public or private security forces</w:t>
            </w:r>
          </w:p>
          <w:p w14:paraId="259874D1" w14:textId="77777777" w:rsidR="007B4013" w:rsidRDefault="00F16FD6" w:rsidP="0012326C">
            <w:pPr>
              <w:numPr>
                <w:ilvl w:val="1"/>
                <w:numId w:val="24"/>
              </w:numPr>
              <w:spacing w:after="0" w:line="240" w:lineRule="auto"/>
            </w:pPr>
            <w:r>
              <w:t>Occurrence of bribery, money laundering or non-payment of taxes, fees and royalties</w:t>
            </w:r>
          </w:p>
          <w:p w14:paraId="4E8562F7" w14:textId="64C63996" w:rsidR="00F16FD6" w:rsidRPr="0012326C" w:rsidRDefault="00F16FD6" w:rsidP="0012326C">
            <w:pPr>
              <w:numPr>
                <w:ilvl w:val="0"/>
                <w:numId w:val="24"/>
              </w:numPr>
              <w:spacing w:after="0" w:line="240" w:lineRule="auto"/>
            </w:pPr>
            <w:r w:rsidRPr="007B4013">
              <w:rPr>
                <w:lang w:val="en-GB"/>
              </w:rPr>
              <w:t>Reports or data from supplier, company or external source to validate as known production areas and substantiate the output declared by the source / mine</w:t>
            </w:r>
          </w:p>
        </w:tc>
      </w:tr>
      <w:tr w:rsidR="00F16FD6" w:rsidRPr="00716F58" w14:paraId="2982091A" w14:textId="77777777" w:rsidTr="00113774">
        <w:trPr>
          <w:jc w:val="center"/>
        </w:trPr>
        <w:tc>
          <w:tcPr>
            <w:tcW w:w="1470" w:type="dxa"/>
            <w:vMerge/>
            <w:vAlign w:val="center"/>
          </w:tcPr>
          <w:p w14:paraId="3003601F" w14:textId="77777777" w:rsidR="00F16FD6" w:rsidRPr="00716F58" w:rsidRDefault="00F16FD6" w:rsidP="00B94513">
            <w:pPr>
              <w:spacing w:after="0" w:line="240" w:lineRule="auto"/>
              <w:rPr>
                <w:lang w:val="en-GB"/>
              </w:rPr>
            </w:pPr>
          </w:p>
        </w:tc>
        <w:tc>
          <w:tcPr>
            <w:tcW w:w="1516" w:type="dxa"/>
            <w:vMerge/>
            <w:vAlign w:val="center"/>
          </w:tcPr>
          <w:p w14:paraId="0C8B5404" w14:textId="77777777" w:rsidR="00F16FD6" w:rsidRPr="00716F58" w:rsidRDefault="00F16FD6" w:rsidP="00B94513">
            <w:pPr>
              <w:spacing w:after="0" w:line="240" w:lineRule="auto"/>
              <w:rPr>
                <w:lang w:val="en-GB"/>
              </w:rPr>
            </w:pPr>
          </w:p>
        </w:tc>
        <w:tc>
          <w:tcPr>
            <w:tcW w:w="1573" w:type="dxa"/>
          </w:tcPr>
          <w:p w14:paraId="5822CD42" w14:textId="38D5A03B" w:rsidR="00F16FD6" w:rsidRPr="00716F58" w:rsidRDefault="00F16FD6" w:rsidP="00F207CF">
            <w:pPr>
              <w:spacing w:after="0" w:line="240" w:lineRule="auto"/>
              <w:rPr>
                <w:lang w:val="en-GB"/>
              </w:rPr>
            </w:pPr>
            <w:r>
              <w:rPr>
                <w:lang w:val="en-GB"/>
              </w:rPr>
              <w:t>Chain of Custody or Traceability</w:t>
            </w:r>
          </w:p>
        </w:tc>
        <w:tc>
          <w:tcPr>
            <w:tcW w:w="4909" w:type="dxa"/>
            <w:vAlign w:val="center"/>
          </w:tcPr>
          <w:p w14:paraId="591F9EB7" w14:textId="5DC38283" w:rsidR="00F16FD6" w:rsidRDefault="00F16FD6" w:rsidP="005E2F04">
            <w:pPr>
              <w:numPr>
                <w:ilvl w:val="0"/>
                <w:numId w:val="24"/>
              </w:numPr>
              <w:spacing w:after="0" w:line="240" w:lineRule="auto"/>
              <w:ind w:left="439"/>
            </w:pPr>
            <w:r w:rsidRPr="00C43E5E">
              <w:t>Validation of</w:t>
            </w:r>
            <w:r>
              <w:t xml:space="preserve"> chain of custody or</w:t>
            </w:r>
            <w:r w:rsidRPr="00C43E5E">
              <w:t xml:space="preserve"> traceability from mine to smelter, e.g.:</w:t>
            </w:r>
          </w:p>
          <w:p w14:paraId="2D18B3F7" w14:textId="77777777" w:rsidR="00F16FD6" w:rsidRDefault="00F16FD6" w:rsidP="005E2F04">
            <w:pPr>
              <w:numPr>
                <w:ilvl w:val="1"/>
                <w:numId w:val="24"/>
              </w:numPr>
              <w:spacing w:after="0" w:line="240" w:lineRule="auto"/>
            </w:pPr>
            <w:r>
              <w:t>Level 1 Example Document Types for Transportation for each step of the supply chain</w:t>
            </w:r>
          </w:p>
          <w:p w14:paraId="0E3597A7" w14:textId="77777777" w:rsidR="00F16FD6" w:rsidRDefault="00F16FD6" w:rsidP="0012326C">
            <w:pPr>
              <w:numPr>
                <w:ilvl w:val="1"/>
                <w:numId w:val="24"/>
              </w:numPr>
              <w:spacing w:after="0" w:line="240" w:lineRule="auto"/>
            </w:pPr>
            <w:r>
              <w:t>Identification of all location(s) in the supply chain</w:t>
            </w:r>
          </w:p>
          <w:p w14:paraId="4A293278" w14:textId="70EC1564" w:rsidR="00F16FD6" w:rsidRPr="0012326C" w:rsidRDefault="00F16FD6" w:rsidP="0012326C">
            <w:pPr>
              <w:numPr>
                <w:ilvl w:val="1"/>
                <w:numId w:val="24"/>
              </w:numPr>
              <w:spacing w:after="0" w:line="240" w:lineRule="auto"/>
            </w:pPr>
            <w:r>
              <w:t>Chain of Custody or Traceability information</w:t>
            </w:r>
          </w:p>
        </w:tc>
      </w:tr>
      <w:tr w:rsidR="00F16FD6" w:rsidRPr="00716F58" w14:paraId="261CA46A" w14:textId="77777777" w:rsidTr="00113774">
        <w:trPr>
          <w:jc w:val="center"/>
        </w:trPr>
        <w:tc>
          <w:tcPr>
            <w:tcW w:w="1470" w:type="dxa"/>
            <w:vMerge/>
            <w:vAlign w:val="center"/>
          </w:tcPr>
          <w:p w14:paraId="713120DD" w14:textId="77777777" w:rsidR="00F16FD6" w:rsidRPr="00716F58" w:rsidRDefault="00F16FD6" w:rsidP="00B94513">
            <w:pPr>
              <w:spacing w:after="0" w:line="240" w:lineRule="auto"/>
              <w:rPr>
                <w:lang w:val="en-GB"/>
              </w:rPr>
            </w:pPr>
          </w:p>
        </w:tc>
        <w:tc>
          <w:tcPr>
            <w:tcW w:w="1516" w:type="dxa"/>
            <w:vMerge/>
            <w:vAlign w:val="center"/>
          </w:tcPr>
          <w:p w14:paraId="04C6A88A" w14:textId="77777777" w:rsidR="00F16FD6" w:rsidRPr="00716F58" w:rsidRDefault="00F16FD6" w:rsidP="00B94513">
            <w:pPr>
              <w:spacing w:after="0" w:line="240" w:lineRule="auto"/>
              <w:rPr>
                <w:lang w:val="en-GB"/>
              </w:rPr>
            </w:pPr>
          </w:p>
        </w:tc>
        <w:tc>
          <w:tcPr>
            <w:tcW w:w="1573" w:type="dxa"/>
          </w:tcPr>
          <w:p w14:paraId="543C5920" w14:textId="2E469DE3" w:rsidR="00F16FD6" w:rsidRPr="00716F58" w:rsidRDefault="00F16FD6" w:rsidP="00F207CF">
            <w:pPr>
              <w:spacing w:after="0" w:line="240" w:lineRule="auto"/>
              <w:rPr>
                <w:lang w:val="en-GB"/>
              </w:rPr>
            </w:pPr>
            <w:r>
              <w:rPr>
                <w:lang w:val="en-GB"/>
              </w:rPr>
              <w:t>Risk Assessment</w:t>
            </w:r>
          </w:p>
        </w:tc>
        <w:tc>
          <w:tcPr>
            <w:tcW w:w="4909" w:type="dxa"/>
            <w:vAlign w:val="center"/>
          </w:tcPr>
          <w:p w14:paraId="6623CB47" w14:textId="77777777" w:rsidR="00F16FD6" w:rsidRPr="00C43E5E" w:rsidRDefault="00F16FD6" w:rsidP="005E2F04">
            <w:pPr>
              <w:numPr>
                <w:ilvl w:val="0"/>
                <w:numId w:val="24"/>
              </w:numPr>
              <w:spacing w:after="0" w:line="240" w:lineRule="auto"/>
              <w:ind w:left="439"/>
              <w:rPr>
                <w:lang w:val="en-GB"/>
              </w:rPr>
            </w:pPr>
            <w:r w:rsidRPr="00C43E5E">
              <w:t>Risk Assessment</w:t>
            </w:r>
          </w:p>
          <w:p w14:paraId="2D9877FE" w14:textId="77777777" w:rsidR="00F16FD6" w:rsidRDefault="00F16FD6" w:rsidP="0012326C">
            <w:pPr>
              <w:numPr>
                <w:ilvl w:val="0"/>
                <w:numId w:val="24"/>
              </w:numPr>
              <w:spacing w:after="0" w:line="240" w:lineRule="auto"/>
              <w:ind w:left="439"/>
              <w:rPr>
                <w:lang w:val="en-GB"/>
              </w:rPr>
            </w:pPr>
            <w:r>
              <w:t>Upstream Risk Assessment</w:t>
            </w:r>
          </w:p>
          <w:p w14:paraId="2A33F3CC" w14:textId="4D401A53" w:rsidR="00F16FD6" w:rsidRPr="00F16FD6" w:rsidRDefault="00F16FD6" w:rsidP="0012326C">
            <w:pPr>
              <w:numPr>
                <w:ilvl w:val="0"/>
                <w:numId w:val="24"/>
              </w:numPr>
              <w:spacing w:after="0" w:line="240" w:lineRule="auto"/>
              <w:ind w:left="439"/>
              <w:rPr>
                <w:lang w:val="en-GB"/>
              </w:rPr>
            </w:pPr>
            <w:r>
              <w:t>On-going monitoring of risks</w:t>
            </w:r>
          </w:p>
        </w:tc>
      </w:tr>
      <w:tr w:rsidR="00F16FD6" w:rsidRPr="00716F58" w14:paraId="0CB27ADC" w14:textId="77777777" w:rsidTr="00113774">
        <w:trPr>
          <w:jc w:val="center"/>
        </w:trPr>
        <w:tc>
          <w:tcPr>
            <w:tcW w:w="1470" w:type="dxa"/>
            <w:vMerge/>
            <w:vAlign w:val="center"/>
          </w:tcPr>
          <w:p w14:paraId="3CEEA315" w14:textId="77777777" w:rsidR="00F16FD6" w:rsidRPr="00716F58" w:rsidRDefault="00F16FD6" w:rsidP="00B94513">
            <w:pPr>
              <w:spacing w:after="0" w:line="240" w:lineRule="auto"/>
              <w:rPr>
                <w:lang w:val="en-GB"/>
              </w:rPr>
            </w:pPr>
          </w:p>
        </w:tc>
        <w:tc>
          <w:tcPr>
            <w:tcW w:w="1516" w:type="dxa"/>
            <w:vMerge/>
            <w:vAlign w:val="center"/>
          </w:tcPr>
          <w:p w14:paraId="29F31E6B" w14:textId="77777777" w:rsidR="00F16FD6" w:rsidRPr="00716F58" w:rsidRDefault="00F16FD6" w:rsidP="00B94513">
            <w:pPr>
              <w:spacing w:after="0" w:line="240" w:lineRule="auto"/>
              <w:rPr>
                <w:lang w:val="en-GB"/>
              </w:rPr>
            </w:pPr>
          </w:p>
        </w:tc>
        <w:tc>
          <w:tcPr>
            <w:tcW w:w="1573" w:type="dxa"/>
          </w:tcPr>
          <w:p w14:paraId="6EE2B4C7" w14:textId="5D62844A" w:rsidR="00F16FD6" w:rsidRPr="00716F58" w:rsidRDefault="00F16FD6" w:rsidP="00F207CF">
            <w:pPr>
              <w:spacing w:after="0" w:line="240" w:lineRule="auto"/>
              <w:rPr>
                <w:lang w:val="en-GB"/>
              </w:rPr>
            </w:pPr>
            <w:r>
              <w:rPr>
                <w:lang w:val="en-GB"/>
              </w:rPr>
              <w:t>Risk Mitigation</w:t>
            </w:r>
          </w:p>
        </w:tc>
        <w:tc>
          <w:tcPr>
            <w:tcW w:w="4909" w:type="dxa"/>
            <w:vAlign w:val="center"/>
          </w:tcPr>
          <w:p w14:paraId="2779E360" w14:textId="77777777" w:rsidR="00F16FD6" w:rsidRPr="00C43E5E" w:rsidRDefault="00F16FD6" w:rsidP="005E2F04">
            <w:pPr>
              <w:numPr>
                <w:ilvl w:val="0"/>
                <w:numId w:val="24"/>
              </w:numPr>
              <w:spacing w:after="0" w:line="240" w:lineRule="auto"/>
              <w:ind w:left="439"/>
            </w:pPr>
            <w:r w:rsidRPr="00C43E5E">
              <w:t>Risk Mitigation Plan</w:t>
            </w:r>
          </w:p>
          <w:p w14:paraId="7655E6DB" w14:textId="77777777" w:rsidR="00F16FD6" w:rsidRDefault="00F16FD6" w:rsidP="0012326C">
            <w:pPr>
              <w:numPr>
                <w:ilvl w:val="0"/>
                <w:numId w:val="24"/>
              </w:numPr>
              <w:spacing w:after="0" w:line="240" w:lineRule="auto"/>
              <w:ind w:left="439"/>
              <w:rPr>
                <w:lang w:val="en-GB"/>
              </w:rPr>
            </w:pPr>
            <w:r w:rsidRPr="00C43E5E">
              <w:t>Internal Reporting</w:t>
            </w:r>
          </w:p>
          <w:p w14:paraId="0A3E2231" w14:textId="588650C6" w:rsidR="00F16FD6" w:rsidRPr="00F16FD6" w:rsidRDefault="00F16FD6" w:rsidP="0012326C">
            <w:pPr>
              <w:numPr>
                <w:ilvl w:val="0"/>
                <w:numId w:val="24"/>
              </w:numPr>
              <w:spacing w:after="0" w:line="240" w:lineRule="auto"/>
              <w:ind w:left="439"/>
              <w:rPr>
                <w:lang w:val="en-GB"/>
              </w:rPr>
            </w:pPr>
            <w:r>
              <w:t>Monitoring and tracking of performance on risk mitigation</w:t>
            </w:r>
          </w:p>
        </w:tc>
      </w:tr>
    </w:tbl>
    <w:p w14:paraId="14C0F360" w14:textId="77777777" w:rsidR="009C6045" w:rsidRDefault="009C6045" w:rsidP="00C21A33">
      <w:pPr>
        <w:pStyle w:val="Heading3"/>
        <w:spacing w:before="0"/>
        <w:jc w:val="both"/>
      </w:pPr>
    </w:p>
    <w:p w14:paraId="106B762E" w14:textId="77777777" w:rsidR="00B94513" w:rsidRDefault="00B94513" w:rsidP="00B94513"/>
    <w:p w14:paraId="4E55F9BB" w14:textId="4A36AB18" w:rsidR="00464B04" w:rsidRDefault="00B94513" w:rsidP="006256DB">
      <w:pPr>
        <w:pStyle w:val="Heading3"/>
        <w:numPr>
          <w:ilvl w:val="0"/>
          <w:numId w:val="49"/>
        </w:numPr>
        <w:spacing w:before="0"/>
      </w:pPr>
      <w:r>
        <w:t xml:space="preserve"> </w:t>
      </w:r>
      <w:bookmarkStart w:id="37" w:name="_Toc450308533"/>
      <w:r>
        <w:t>Secondary Materials</w:t>
      </w:r>
      <w:bookmarkEnd w:id="37"/>
    </w:p>
    <w:p w14:paraId="2E4EA4E4" w14:textId="77777777" w:rsidR="00B94513" w:rsidRPr="00B94513" w:rsidRDefault="00B94513" w:rsidP="00B94513">
      <w:pPr>
        <w:spacing w:after="0" w:line="240" w:lineRule="auto"/>
      </w:pPr>
    </w:p>
    <w:p w14:paraId="5654D112" w14:textId="57D16228" w:rsidR="008C7DDF" w:rsidRDefault="00A91A27" w:rsidP="00B94513">
      <w:pPr>
        <w:pStyle w:val="Caption"/>
        <w:spacing w:after="0"/>
        <w:jc w:val="both"/>
      </w:pPr>
      <w:r>
        <w:t xml:space="preserve">Table </w:t>
      </w:r>
      <w:r w:rsidR="00B94513">
        <w:t>6</w:t>
      </w:r>
      <w:r>
        <w:t xml:space="preserve">: </w:t>
      </w:r>
      <w:r w:rsidR="00B94513">
        <w:t>Secondary 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526"/>
        <w:gridCol w:w="5911"/>
      </w:tblGrid>
      <w:tr w:rsidR="00F92770" w:rsidRPr="00716F58" w14:paraId="4CDCFDFD" w14:textId="77777777" w:rsidTr="002759E7">
        <w:trPr>
          <w:tblHeader/>
        </w:trPr>
        <w:tc>
          <w:tcPr>
            <w:tcW w:w="2031" w:type="dxa"/>
            <w:shd w:val="clear" w:color="auto" w:fill="auto"/>
            <w:vAlign w:val="center"/>
          </w:tcPr>
          <w:p w14:paraId="5EDD8D51" w14:textId="77777777" w:rsidR="00F92770" w:rsidRPr="00716F58" w:rsidRDefault="00F92770" w:rsidP="002759E7">
            <w:pPr>
              <w:spacing w:after="0" w:line="240" w:lineRule="auto"/>
              <w:jc w:val="center"/>
              <w:rPr>
                <w:b/>
                <w:lang w:val="en-GB"/>
              </w:rPr>
            </w:pPr>
            <w:r w:rsidRPr="00716F58">
              <w:rPr>
                <w:b/>
                <w:lang w:val="en-GB"/>
              </w:rPr>
              <w:t>Material Type</w:t>
            </w:r>
          </w:p>
        </w:tc>
        <w:tc>
          <w:tcPr>
            <w:tcW w:w="1526" w:type="dxa"/>
            <w:shd w:val="clear" w:color="auto" w:fill="auto"/>
            <w:vAlign w:val="center"/>
          </w:tcPr>
          <w:p w14:paraId="74834F10" w14:textId="77777777" w:rsidR="00F92770" w:rsidRPr="00716F58" w:rsidRDefault="00F92770" w:rsidP="002759E7">
            <w:pPr>
              <w:spacing w:after="0" w:line="240" w:lineRule="auto"/>
              <w:jc w:val="center"/>
              <w:rPr>
                <w:b/>
                <w:lang w:val="en-GB"/>
              </w:rPr>
            </w:pPr>
            <w:r w:rsidRPr="00716F58">
              <w:rPr>
                <w:b/>
                <w:lang w:val="en-GB"/>
              </w:rPr>
              <w:t>Expectation</w:t>
            </w:r>
          </w:p>
        </w:tc>
        <w:tc>
          <w:tcPr>
            <w:tcW w:w="5911" w:type="dxa"/>
            <w:shd w:val="clear" w:color="auto" w:fill="auto"/>
            <w:vAlign w:val="center"/>
          </w:tcPr>
          <w:p w14:paraId="6C7D1591" w14:textId="77777777" w:rsidR="00F92770" w:rsidRPr="00716F58" w:rsidRDefault="00F92770" w:rsidP="002759E7">
            <w:pPr>
              <w:spacing w:after="0" w:line="240" w:lineRule="auto"/>
              <w:jc w:val="center"/>
              <w:rPr>
                <w:b/>
                <w:lang w:val="en-GB"/>
              </w:rPr>
            </w:pPr>
            <w:r w:rsidRPr="00716F58">
              <w:rPr>
                <w:b/>
                <w:lang w:val="en-GB"/>
              </w:rPr>
              <w:t>Example Document Types</w:t>
            </w:r>
          </w:p>
          <w:p w14:paraId="15B14627" w14:textId="77777777" w:rsidR="00F92770" w:rsidRPr="00716F58" w:rsidRDefault="00F92770" w:rsidP="002759E7">
            <w:pPr>
              <w:spacing w:after="0" w:line="240" w:lineRule="auto"/>
              <w:jc w:val="center"/>
              <w:rPr>
                <w:b/>
                <w:lang w:val="en-GB"/>
              </w:rPr>
            </w:pPr>
            <w:r w:rsidRPr="00716F58">
              <w:rPr>
                <w:b/>
                <w:lang w:val="en-GB"/>
              </w:rPr>
              <w:t>(Not every document is necessary)</w:t>
            </w:r>
          </w:p>
        </w:tc>
      </w:tr>
      <w:tr w:rsidR="00E530C7" w:rsidRPr="00716F58" w14:paraId="41591C70" w14:textId="77777777" w:rsidTr="00B94513">
        <w:tc>
          <w:tcPr>
            <w:tcW w:w="2031" w:type="dxa"/>
            <w:vMerge w:val="restart"/>
            <w:vAlign w:val="center"/>
          </w:tcPr>
          <w:p w14:paraId="677B8F45" w14:textId="16AF6F14" w:rsidR="00E530C7" w:rsidRPr="00716F58" w:rsidRDefault="00E530C7" w:rsidP="00B94513">
            <w:pPr>
              <w:spacing w:after="0" w:line="240" w:lineRule="auto"/>
              <w:rPr>
                <w:lang w:val="en-GB"/>
              </w:rPr>
            </w:pPr>
            <w:r w:rsidRPr="00716F58">
              <w:rPr>
                <w:lang w:val="en-GB"/>
              </w:rPr>
              <w:t>Secondary</w:t>
            </w:r>
            <w:r>
              <w:rPr>
                <w:lang w:val="en-GB"/>
              </w:rPr>
              <w:t xml:space="preserve"> Materials, Low Risk</w:t>
            </w:r>
            <w:r w:rsidRPr="00716F58">
              <w:rPr>
                <w:vertAlign w:val="superscript"/>
                <w:lang w:val="en-GB"/>
              </w:rPr>
              <w:footnoteReference w:id="13"/>
            </w:r>
          </w:p>
        </w:tc>
        <w:tc>
          <w:tcPr>
            <w:tcW w:w="1526" w:type="dxa"/>
            <w:vAlign w:val="center"/>
          </w:tcPr>
          <w:p w14:paraId="0A342CE7" w14:textId="77777777" w:rsidR="00E530C7" w:rsidRPr="00716F58" w:rsidRDefault="00E530C7" w:rsidP="00B94513">
            <w:pPr>
              <w:spacing w:after="0" w:line="240" w:lineRule="auto"/>
              <w:rPr>
                <w:lang w:val="en-GB"/>
              </w:rPr>
            </w:pPr>
            <w:r w:rsidRPr="00716F58">
              <w:rPr>
                <w:lang w:val="en-GB"/>
              </w:rPr>
              <w:t>Source</w:t>
            </w:r>
          </w:p>
        </w:tc>
        <w:tc>
          <w:tcPr>
            <w:tcW w:w="5911" w:type="dxa"/>
            <w:vAlign w:val="center"/>
          </w:tcPr>
          <w:p w14:paraId="0EAB3D70" w14:textId="32CB5A8F" w:rsidR="00E530C7" w:rsidRPr="00716F58" w:rsidRDefault="00E530C7" w:rsidP="006256DB">
            <w:pPr>
              <w:numPr>
                <w:ilvl w:val="0"/>
                <w:numId w:val="26"/>
              </w:numPr>
              <w:spacing w:after="0" w:line="240" w:lineRule="auto"/>
              <w:ind w:left="385"/>
            </w:pPr>
            <w:r w:rsidRPr="00716F58">
              <w:rPr>
                <w:lang w:val="en-GB"/>
              </w:rPr>
              <w:t xml:space="preserve">Supplier </w:t>
            </w:r>
            <w:r>
              <w:rPr>
                <w:lang w:val="en-GB"/>
              </w:rPr>
              <w:t>identification</w:t>
            </w:r>
          </w:p>
          <w:p w14:paraId="5A60A8E9" w14:textId="77777777" w:rsidR="00E530C7" w:rsidRPr="00716F58" w:rsidRDefault="00E530C7" w:rsidP="006256DB">
            <w:pPr>
              <w:numPr>
                <w:ilvl w:val="0"/>
                <w:numId w:val="26"/>
              </w:numPr>
              <w:spacing w:after="0" w:line="240" w:lineRule="auto"/>
              <w:ind w:left="385"/>
            </w:pPr>
            <w:r w:rsidRPr="00716F58">
              <w:rPr>
                <w:lang w:val="en-GB"/>
              </w:rPr>
              <w:t>Supplier location, description, and URL (as available)</w:t>
            </w:r>
          </w:p>
          <w:p w14:paraId="493CC777" w14:textId="77777777" w:rsidR="00E530C7" w:rsidRPr="00716F58" w:rsidRDefault="00E530C7" w:rsidP="006256DB">
            <w:pPr>
              <w:numPr>
                <w:ilvl w:val="0"/>
                <w:numId w:val="26"/>
              </w:numPr>
              <w:spacing w:after="0" w:line="240" w:lineRule="auto"/>
              <w:ind w:left="385"/>
            </w:pPr>
            <w:r w:rsidRPr="00716F58">
              <w:rPr>
                <w:lang w:val="en-GB"/>
              </w:rPr>
              <w:t>Description of supplier’s operations</w:t>
            </w:r>
            <w:r>
              <w:rPr>
                <w:lang w:val="en-GB"/>
              </w:rPr>
              <w:t>, including a description of the source of secondary materials and the material type</w:t>
            </w:r>
          </w:p>
          <w:p w14:paraId="3BBCEB62" w14:textId="77777777" w:rsidR="00E530C7" w:rsidRDefault="00E530C7" w:rsidP="006256DB">
            <w:pPr>
              <w:numPr>
                <w:ilvl w:val="0"/>
                <w:numId w:val="26"/>
              </w:numPr>
              <w:spacing w:after="0" w:line="240" w:lineRule="auto"/>
              <w:ind w:left="385"/>
              <w:rPr>
                <w:lang w:val="en-GB"/>
              </w:rPr>
            </w:pPr>
            <w:r w:rsidRPr="00716F58">
              <w:rPr>
                <w:lang w:val="en-GB"/>
              </w:rPr>
              <w:t>Supplier contract and/or purchase agreement(s) containing description of secondary material</w:t>
            </w:r>
          </w:p>
          <w:p w14:paraId="599EEF8F" w14:textId="7038EA7F" w:rsidR="00E530C7" w:rsidRPr="00716F58" w:rsidRDefault="00E530C7" w:rsidP="006256DB">
            <w:pPr>
              <w:numPr>
                <w:ilvl w:val="0"/>
                <w:numId w:val="26"/>
              </w:numPr>
              <w:spacing w:after="0" w:line="240" w:lineRule="auto"/>
              <w:ind w:left="385"/>
              <w:rPr>
                <w:lang w:val="en-GB"/>
              </w:rPr>
            </w:pPr>
            <w:r>
              <w:t xml:space="preserve">Information on the composition or form of the materials such as analysis data, information on physical form, </w:t>
            </w:r>
            <w:r>
              <w:lastRenderedPageBreak/>
              <w:t>photos, or explicit descriptions of the material lot may be utilized as available</w:t>
            </w:r>
          </w:p>
        </w:tc>
      </w:tr>
      <w:tr w:rsidR="00E530C7" w:rsidRPr="00716F58" w14:paraId="73282F9D" w14:textId="77777777" w:rsidTr="00B94513">
        <w:trPr>
          <w:trHeight w:val="1169"/>
        </w:trPr>
        <w:tc>
          <w:tcPr>
            <w:tcW w:w="2031" w:type="dxa"/>
            <w:vMerge/>
            <w:vAlign w:val="center"/>
          </w:tcPr>
          <w:p w14:paraId="040CB256" w14:textId="77777777" w:rsidR="00E530C7" w:rsidRPr="00716F58" w:rsidRDefault="00E530C7" w:rsidP="00B94513">
            <w:pPr>
              <w:spacing w:after="0" w:line="240" w:lineRule="auto"/>
              <w:rPr>
                <w:lang w:val="en-GB"/>
              </w:rPr>
            </w:pPr>
          </w:p>
        </w:tc>
        <w:tc>
          <w:tcPr>
            <w:tcW w:w="1526" w:type="dxa"/>
            <w:vAlign w:val="center"/>
          </w:tcPr>
          <w:p w14:paraId="76223B18" w14:textId="21BC74E8" w:rsidR="00E530C7" w:rsidRPr="00716F58" w:rsidRDefault="00E530C7" w:rsidP="00B94513">
            <w:pPr>
              <w:spacing w:after="0" w:line="240" w:lineRule="auto"/>
              <w:rPr>
                <w:lang w:val="en-GB"/>
              </w:rPr>
            </w:pPr>
            <w:r>
              <w:rPr>
                <w:lang w:val="en-GB"/>
              </w:rPr>
              <w:t>Transport</w:t>
            </w:r>
          </w:p>
        </w:tc>
        <w:tc>
          <w:tcPr>
            <w:tcW w:w="5911" w:type="dxa"/>
            <w:vAlign w:val="center"/>
          </w:tcPr>
          <w:p w14:paraId="1A420E38" w14:textId="53813DDB" w:rsidR="00E530C7" w:rsidRPr="00E530C7" w:rsidRDefault="00E530C7" w:rsidP="006256DB">
            <w:pPr>
              <w:pStyle w:val="ListParagraph"/>
              <w:numPr>
                <w:ilvl w:val="0"/>
                <w:numId w:val="26"/>
              </w:numPr>
              <w:spacing w:after="0"/>
              <w:ind w:left="385"/>
              <w:rPr>
                <w:lang w:val="en-GB"/>
              </w:rPr>
            </w:pPr>
            <w:r w:rsidRPr="00E530C7">
              <w:rPr>
                <w:lang w:val="en-GB"/>
              </w:rPr>
              <w:t>Bill of lading or any other transport and / or receipt documents or purchase agreement containing a description of secondary material and supplier identification</w:t>
            </w:r>
          </w:p>
        </w:tc>
      </w:tr>
    </w:tbl>
    <w:p w14:paraId="544B48CB" w14:textId="149FA460" w:rsidR="00837928" w:rsidRDefault="00837928" w:rsidP="00C21A33">
      <w:pPr>
        <w:spacing w:after="0" w:line="240" w:lineRule="auto"/>
        <w:jc w:val="both"/>
      </w:pPr>
    </w:p>
    <w:p w14:paraId="4B71BA29" w14:textId="77777777" w:rsidR="00837928" w:rsidRDefault="00837928" w:rsidP="00C21A33">
      <w:pPr>
        <w:spacing w:after="0" w:line="240" w:lineRule="auto"/>
        <w:jc w:val="both"/>
      </w:pPr>
      <w:r>
        <w:br w:type="page"/>
      </w:r>
    </w:p>
    <w:p w14:paraId="79289C77" w14:textId="5CA8FCAB" w:rsidR="009A6217" w:rsidRDefault="009A6217" w:rsidP="006256DB">
      <w:pPr>
        <w:pStyle w:val="Heading3"/>
        <w:numPr>
          <w:ilvl w:val="0"/>
          <w:numId w:val="49"/>
        </w:numPr>
        <w:spacing w:before="0"/>
        <w:jc w:val="both"/>
      </w:pPr>
      <w:bookmarkStart w:id="38" w:name="_Toc315084484"/>
      <w:bookmarkStart w:id="39" w:name="_Toc450308534"/>
      <w:r>
        <w:lastRenderedPageBreak/>
        <w:t>Legacy Materials</w:t>
      </w:r>
      <w:bookmarkEnd w:id="38"/>
      <w:bookmarkEnd w:id="39"/>
    </w:p>
    <w:p w14:paraId="2256E441" w14:textId="77777777" w:rsidR="00CD7A98" w:rsidRDefault="00CD7A98" w:rsidP="00C21A33">
      <w:pPr>
        <w:spacing w:after="0" w:line="240" w:lineRule="auto"/>
        <w:jc w:val="both"/>
      </w:pPr>
    </w:p>
    <w:p w14:paraId="07EF1D3B" w14:textId="7C4A2803" w:rsidR="009A6217" w:rsidRDefault="001E2BA2" w:rsidP="00C21A33">
      <w:pPr>
        <w:spacing w:after="0" w:line="240" w:lineRule="auto"/>
        <w:jc w:val="both"/>
      </w:pPr>
      <w:r>
        <w:t xml:space="preserve">Mined </w:t>
      </w:r>
      <w:r w:rsidR="009A6217">
        <w:t>materials "outside the supply chain" prior to January 31, 2013</w:t>
      </w:r>
      <w:r w:rsidR="009A6217">
        <w:rPr>
          <w:rStyle w:val="FootnoteReference"/>
        </w:rPr>
        <w:footnoteReference w:id="14"/>
      </w:r>
      <w:r w:rsidR="009A6217">
        <w:t xml:space="preserve">, </w:t>
      </w:r>
      <w:r>
        <w:t xml:space="preserve">do not require </w:t>
      </w:r>
      <w:r w:rsidR="00646728">
        <w:t>a determination of origin. S</w:t>
      </w:r>
      <w:r w:rsidR="00E93F7D">
        <w:t xml:space="preserve">melters </w:t>
      </w:r>
      <w:r w:rsidR="00646728">
        <w:t>shall</w:t>
      </w:r>
      <w:r>
        <w:t xml:space="preserve"> </w:t>
      </w:r>
      <w:r w:rsidR="00E00842">
        <w:t xml:space="preserve">provide sufficient documentation to demonstrate </w:t>
      </w:r>
      <w:r w:rsidR="00646728">
        <w:t xml:space="preserve">the </w:t>
      </w:r>
      <w:r>
        <w:t xml:space="preserve">materials are legacy materials as defined </w:t>
      </w:r>
      <w:r w:rsidR="00646728">
        <w:t>in</w:t>
      </w:r>
      <w:r>
        <w:t xml:space="preserve"> this Audit Protoc</w:t>
      </w:r>
      <w:r w:rsidR="00E93F7D">
        <w:t>o</w:t>
      </w:r>
      <w:r>
        <w:t>l</w:t>
      </w:r>
      <w:r w:rsidR="004912C4">
        <w:t>.</w:t>
      </w:r>
      <w:r w:rsidR="00E00842">
        <w:t xml:space="preserve"> </w:t>
      </w:r>
    </w:p>
    <w:p w14:paraId="1CD44DB9" w14:textId="77777777" w:rsidR="002B7390" w:rsidRDefault="002B7390" w:rsidP="00C21A33">
      <w:pPr>
        <w:pStyle w:val="Caption"/>
        <w:spacing w:after="0"/>
        <w:jc w:val="both"/>
      </w:pPr>
    </w:p>
    <w:p w14:paraId="33229014" w14:textId="616AF42D" w:rsidR="00E93F7D" w:rsidRDefault="00E93F7D" w:rsidP="00C21A33">
      <w:pPr>
        <w:pStyle w:val="Caption"/>
        <w:spacing w:after="0"/>
        <w:jc w:val="both"/>
      </w:pPr>
      <w:r>
        <w:t xml:space="preserve">Table </w:t>
      </w:r>
      <w:r w:rsidR="00B94513">
        <w:t>7</w:t>
      </w:r>
      <w:r>
        <w:t xml:space="preserve">: </w:t>
      </w:r>
      <w:r w:rsidR="00B94513">
        <w:t>Legacy Materials</w:t>
      </w:r>
    </w:p>
    <w:tbl>
      <w:tblPr>
        <w:tblStyle w:val="TableGrid"/>
        <w:tblW w:w="0" w:type="auto"/>
        <w:tblLook w:val="04A0" w:firstRow="1" w:lastRow="0" w:firstColumn="1" w:lastColumn="0" w:noHBand="0" w:noVBand="1"/>
      </w:tblPr>
      <w:tblGrid>
        <w:gridCol w:w="2064"/>
        <w:gridCol w:w="1923"/>
        <w:gridCol w:w="5589"/>
      </w:tblGrid>
      <w:tr w:rsidR="001E2BA2" w:rsidRPr="00716F58" w14:paraId="4374A5C8" w14:textId="77777777" w:rsidTr="002759E7">
        <w:tc>
          <w:tcPr>
            <w:tcW w:w="2064" w:type="dxa"/>
            <w:vAlign w:val="center"/>
          </w:tcPr>
          <w:p w14:paraId="3D9CFF89" w14:textId="77777777" w:rsidR="001E2BA2" w:rsidRPr="00716F58" w:rsidRDefault="001E2BA2" w:rsidP="002759E7">
            <w:pPr>
              <w:jc w:val="center"/>
              <w:rPr>
                <w:b/>
                <w:lang w:val="en-GB"/>
              </w:rPr>
            </w:pPr>
            <w:r w:rsidRPr="00716F58">
              <w:rPr>
                <w:b/>
                <w:lang w:val="en-GB"/>
              </w:rPr>
              <w:t>Material Type</w:t>
            </w:r>
          </w:p>
        </w:tc>
        <w:tc>
          <w:tcPr>
            <w:tcW w:w="1923" w:type="dxa"/>
            <w:vAlign w:val="center"/>
          </w:tcPr>
          <w:p w14:paraId="4B040BA7" w14:textId="77777777" w:rsidR="001E2BA2" w:rsidRPr="00716F58" w:rsidRDefault="001E2BA2" w:rsidP="002759E7">
            <w:pPr>
              <w:jc w:val="center"/>
              <w:rPr>
                <w:b/>
                <w:lang w:val="en-GB"/>
              </w:rPr>
            </w:pPr>
            <w:r w:rsidRPr="00716F58">
              <w:rPr>
                <w:b/>
                <w:lang w:val="en-GB"/>
              </w:rPr>
              <w:t>Expectation</w:t>
            </w:r>
          </w:p>
        </w:tc>
        <w:tc>
          <w:tcPr>
            <w:tcW w:w="5589" w:type="dxa"/>
            <w:vAlign w:val="center"/>
          </w:tcPr>
          <w:p w14:paraId="753FDA2F" w14:textId="77777777" w:rsidR="001E2BA2" w:rsidRPr="00716F58" w:rsidRDefault="001E2BA2" w:rsidP="002759E7">
            <w:pPr>
              <w:jc w:val="center"/>
              <w:rPr>
                <w:b/>
                <w:lang w:val="en-GB"/>
              </w:rPr>
            </w:pPr>
            <w:r w:rsidRPr="00716F58">
              <w:rPr>
                <w:b/>
                <w:lang w:val="en-GB"/>
              </w:rPr>
              <w:t>Example Document Types</w:t>
            </w:r>
          </w:p>
          <w:p w14:paraId="2DA23915" w14:textId="77777777" w:rsidR="001E2BA2" w:rsidRPr="00716F58" w:rsidRDefault="001E2BA2" w:rsidP="002759E7">
            <w:pPr>
              <w:jc w:val="center"/>
              <w:rPr>
                <w:b/>
                <w:lang w:val="en-GB"/>
              </w:rPr>
            </w:pPr>
            <w:r w:rsidRPr="00716F58">
              <w:rPr>
                <w:b/>
                <w:lang w:val="en-GB"/>
              </w:rPr>
              <w:t>(Not every document is necessary)</w:t>
            </w:r>
          </w:p>
        </w:tc>
      </w:tr>
      <w:tr w:rsidR="001E2BA2" w:rsidRPr="00716F58" w14:paraId="4335E63E" w14:textId="77777777" w:rsidTr="00992636">
        <w:tc>
          <w:tcPr>
            <w:tcW w:w="2064" w:type="dxa"/>
            <w:vAlign w:val="center"/>
          </w:tcPr>
          <w:p w14:paraId="6D08CA9C" w14:textId="3E5E2B54" w:rsidR="001E2BA2" w:rsidRPr="00E00842" w:rsidRDefault="00E93F7D" w:rsidP="00992636">
            <w:pPr>
              <w:rPr>
                <w:lang w:val="en-GB"/>
              </w:rPr>
            </w:pPr>
            <w:r w:rsidRPr="00E00842">
              <w:rPr>
                <w:lang w:val="en-GB"/>
              </w:rPr>
              <w:t xml:space="preserve">Mineral, Level 1 or Level 2 </w:t>
            </w:r>
          </w:p>
        </w:tc>
        <w:tc>
          <w:tcPr>
            <w:tcW w:w="1923" w:type="dxa"/>
            <w:vAlign w:val="center"/>
          </w:tcPr>
          <w:p w14:paraId="0551C487" w14:textId="39A34A68" w:rsidR="001E2BA2" w:rsidRPr="00716F58" w:rsidRDefault="00E93F7D" w:rsidP="00992636">
            <w:pPr>
              <w:rPr>
                <w:lang w:val="en-GB"/>
              </w:rPr>
            </w:pPr>
            <w:r>
              <w:rPr>
                <w:lang w:val="en-GB"/>
              </w:rPr>
              <w:t>Production Date</w:t>
            </w:r>
          </w:p>
        </w:tc>
        <w:tc>
          <w:tcPr>
            <w:tcW w:w="5589" w:type="dxa"/>
            <w:vAlign w:val="center"/>
          </w:tcPr>
          <w:p w14:paraId="39B3D66D" w14:textId="7573159C" w:rsidR="001E2BA2" w:rsidRPr="00716F58" w:rsidRDefault="00E93F7D" w:rsidP="006256DB">
            <w:pPr>
              <w:numPr>
                <w:ilvl w:val="0"/>
                <w:numId w:val="26"/>
              </w:numPr>
              <w:ind w:left="333"/>
              <w:rPr>
                <w:lang w:val="en-GB"/>
              </w:rPr>
            </w:pPr>
            <w:r>
              <w:rPr>
                <w:lang w:val="en-GB"/>
              </w:rPr>
              <w:t>Document showing the date of mineral production</w:t>
            </w:r>
          </w:p>
        </w:tc>
      </w:tr>
      <w:tr w:rsidR="00E93F7D" w14:paraId="19939850" w14:textId="77777777" w:rsidTr="00992636">
        <w:trPr>
          <w:cantSplit/>
        </w:trPr>
        <w:tc>
          <w:tcPr>
            <w:tcW w:w="2064" w:type="dxa"/>
            <w:vMerge w:val="restart"/>
            <w:vAlign w:val="center"/>
          </w:tcPr>
          <w:p w14:paraId="5992533D" w14:textId="5D902BD1" w:rsidR="00E93F7D" w:rsidRPr="00E00842" w:rsidRDefault="00E93F7D" w:rsidP="00992636">
            <w:r w:rsidRPr="00E00842">
              <w:t>Metal / Material generated from smelting, partially processed materials,</w:t>
            </w:r>
          </w:p>
          <w:p w14:paraId="27303F3E" w14:textId="0531071D" w:rsidR="00E93F7D" w:rsidRPr="00E00842" w:rsidRDefault="00E93F7D" w:rsidP="00992636">
            <w:r w:rsidRPr="00E00842">
              <w:t>Level 1 or Level 2</w:t>
            </w:r>
          </w:p>
        </w:tc>
        <w:tc>
          <w:tcPr>
            <w:tcW w:w="1923" w:type="dxa"/>
            <w:vAlign w:val="center"/>
          </w:tcPr>
          <w:p w14:paraId="74B2C307" w14:textId="6A162760" w:rsidR="00E93F7D" w:rsidRDefault="00E93F7D" w:rsidP="00992636">
            <w:r>
              <w:t>Production Date</w:t>
            </w:r>
          </w:p>
        </w:tc>
        <w:tc>
          <w:tcPr>
            <w:tcW w:w="5589" w:type="dxa"/>
            <w:vAlign w:val="center"/>
          </w:tcPr>
          <w:p w14:paraId="08F0D121" w14:textId="3F74FA06" w:rsidR="00E93F7D" w:rsidRDefault="00E93F7D" w:rsidP="006256DB">
            <w:pPr>
              <w:pStyle w:val="ListParagraph"/>
              <w:numPr>
                <w:ilvl w:val="0"/>
                <w:numId w:val="7"/>
              </w:numPr>
            </w:pPr>
            <w:r>
              <w:rPr>
                <w:lang w:val="en-GB"/>
              </w:rPr>
              <w:t>Document showing the date of mineral production</w:t>
            </w:r>
            <w:r>
              <w:t>, e.g. Certificate of Analysis (CoA)</w:t>
            </w:r>
            <w:r>
              <w:rPr>
                <w:rStyle w:val="FootnoteReference"/>
              </w:rPr>
              <w:t xml:space="preserve"> </w:t>
            </w:r>
            <w:r>
              <w:rPr>
                <w:rStyle w:val="FootnoteReference"/>
              </w:rPr>
              <w:footnoteReference w:id="15"/>
            </w:r>
          </w:p>
        </w:tc>
      </w:tr>
      <w:tr w:rsidR="00E93F7D" w14:paraId="28B47D84" w14:textId="77777777" w:rsidTr="00992636">
        <w:trPr>
          <w:cantSplit/>
        </w:trPr>
        <w:tc>
          <w:tcPr>
            <w:tcW w:w="2064" w:type="dxa"/>
            <w:vMerge/>
            <w:vAlign w:val="center"/>
          </w:tcPr>
          <w:p w14:paraId="0BD1C86D" w14:textId="77777777" w:rsidR="00E93F7D" w:rsidRDefault="00E93F7D" w:rsidP="00992636"/>
        </w:tc>
        <w:tc>
          <w:tcPr>
            <w:tcW w:w="1923" w:type="dxa"/>
            <w:vAlign w:val="center"/>
          </w:tcPr>
          <w:p w14:paraId="0A02B81F" w14:textId="437FCAFE" w:rsidR="00E93F7D" w:rsidDel="00E93F7D" w:rsidRDefault="00E93F7D" w:rsidP="00992636">
            <w:r>
              <w:t>Source</w:t>
            </w:r>
          </w:p>
        </w:tc>
        <w:tc>
          <w:tcPr>
            <w:tcW w:w="5589" w:type="dxa"/>
            <w:vAlign w:val="center"/>
          </w:tcPr>
          <w:p w14:paraId="255E2B6B" w14:textId="009B2ECD" w:rsidR="00E93F7D" w:rsidRDefault="00E93F7D" w:rsidP="006256DB">
            <w:pPr>
              <w:pStyle w:val="ListParagraph"/>
              <w:numPr>
                <w:ilvl w:val="0"/>
                <w:numId w:val="7"/>
              </w:numPr>
            </w:pPr>
            <w:r>
              <w:t>Identity of immediate supplier storing the materials</w:t>
            </w:r>
          </w:p>
        </w:tc>
      </w:tr>
      <w:tr w:rsidR="00E93F7D" w14:paraId="7A5827A3" w14:textId="77777777" w:rsidTr="00992636">
        <w:trPr>
          <w:cantSplit/>
        </w:trPr>
        <w:tc>
          <w:tcPr>
            <w:tcW w:w="2064" w:type="dxa"/>
            <w:vMerge/>
            <w:vAlign w:val="center"/>
          </w:tcPr>
          <w:p w14:paraId="2A73519F" w14:textId="77777777" w:rsidR="00E93F7D" w:rsidRDefault="00E93F7D" w:rsidP="00992636"/>
        </w:tc>
        <w:tc>
          <w:tcPr>
            <w:tcW w:w="1923" w:type="dxa"/>
            <w:vAlign w:val="center"/>
          </w:tcPr>
          <w:p w14:paraId="250F0FBD" w14:textId="6A6D8FA5" w:rsidR="00E93F7D" w:rsidDel="00E93F7D" w:rsidRDefault="00E93F7D" w:rsidP="00992636">
            <w:r>
              <w:t>Transport</w:t>
            </w:r>
          </w:p>
        </w:tc>
        <w:tc>
          <w:tcPr>
            <w:tcW w:w="5589" w:type="dxa"/>
            <w:vAlign w:val="center"/>
          </w:tcPr>
          <w:p w14:paraId="4DDB8A5E" w14:textId="58E8BB62" w:rsidR="00E93F7D" w:rsidRDefault="00E93F7D" w:rsidP="006256DB">
            <w:pPr>
              <w:pStyle w:val="ListParagraph"/>
              <w:numPr>
                <w:ilvl w:val="0"/>
                <w:numId w:val="7"/>
              </w:numPr>
            </w:pPr>
            <w:r>
              <w:t>Transportation document from storage location of supplier to the smelter</w:t>
            </w:r>
          </w:p>
        </w:tc>
      </w:tr>
    </w:tbl>
    <w:p w14:paraId="79FB3352" w14:textId="77777777" w:rsidR="00FF1CE8" w:rsidRDefault="00FF1CE8" w:rsidP="00C21A33">
      <w:pPr>
        <w:spacing w:after="0" w:line="240" w:lineRule="auto"/>
        <w:jc w:val="both"/>
      </w:pPr>
    </w:p>
    <w:p w14:paraId="22C1D4E2" w14:textId="77777777" w:rsidR="00CB5027" w:rsidRDefault="00CB5027" w:rsidP="00C21A33">
      <w:pPr>
        <w:spacing w:after="0" w:line="240" w:lineRule="auto"/>
        <w:jc w:val="both"/>
      </w:pPr>
    </w:p>
    <w:p w14:paraId="51AC1216" w14:textId="076E5CC9" w:rsidR="00CB5027" w:rsidRDefault="00CB5027" w:rsidP="00C21A33">
      <w:pPr>
        <w:spacing w:after="0" w:line="240" w:lineRule="auto"/>
        <w:jc w:val="both"/>
      </w:pPr>
      <w:r>
        <w:t>Mineral stocks are known to exist in Level 3 and Other CAHRA countries after January 31, 2013. These are not considered to be outside the supply chain. These minerals may not have all the required origin, chain of custody</w:t>
      </w:r>
      <w:r w:rsidR="00AA57F3">
        <w:t xml:space="preserve"> or traceability</w:t>
      </w:r>
      <w:r>
        <w:t xml:space="preserve">, and due diligence </w:t>
      </w:r>
      <w:r w:rsidR="00AA57F3">
        <w:t>information</w:t>
      </w:r>
      <w:r>
        <w:t xml:space="preserve"> and </w:t>
      </w:r>
      <w:r w:rsidR="00AA57F3">
        <w:t xml:space="preserve">may </w:t>
      </w:r>
      <w:r>
        <w:t xml:space="preserve">present a high risk. </w:t>
      </w:r>
      <w:r w:rsidR="00AA57F3">
        <w:t xml:space="preserve">Auditees and CFSI </w:t>
      </w:r>
      <w:r>
        <w:t xml:space="preserve">will adopt </w:t>
      </w:r>
      <w:r w:rsidR="00AA57F3">
        <w:t xml:space="preserve">appropriate </w:t>
      </w:r>
      <w:r>
        <w:t xml:space="preserve">due diligence requirements </w:t>
      </w:r>
      <w:r w:rsidR="00AA57F3">
        <w:t>for these minerals as</w:t>
      </w:r>
      <w:r>
        <w:t xml:space="preserve"> agreed to by relevant international stakeholders. </w:t>
      </w:r>
    </w:p>
    <w:p w14:paraId="011097AE" w14:textId="599DD0A3" w:rsidR="00CB5027" w:rsidRDefault="00CB5027" w:rsidP="00C21A33">
      <w:pPr>
        <w:spacing w:after="0" w:line="240" w:lineRule="auto"/>
        <w:jc w:val="both"/>
      </w:pPr>
    </w:p>
    <w:p w14:paraId="7DB57F99" w14:textId="3611F213" w:rsidR="00FF1CE8" w:rsidRPr="00C87D23" w:rsidRDefault="00FF1CE8" w:rsidP="006256DB">
      <w:pPr>
        <w:pStyle w:val="Heading3"/>
        <w:numPr>
          <w:ilvl w:val="0"/>
          <w:numId w:val="49"/>
        </w:numPr>
        <w:spacing w:before="0"/>
        <w:jc w:val="both"/>
      </w:pPr>
      <w:bookmarkStart w:id="40" w:name="_Toc450308535"/>
      <w:r>
        <w:t>Assay Samples</w:t>
      </w:r>
      <w:bookmarkEnd w:id="40"/>
    </w:p>
    <w:p w14:paraId="36ED1069" w14:textId="36A05A14" w:rsidR="00FF1CE8" w:rsidRDefault="00FF1CE8" w:rsidP="00C21A33">
      <w:pPr>
        <w:spacing w:after="0" w:line="240" w:lineRule="auto"/>
        <w:jc w:val="both"/>
      </w:pPr>
      <w:r>
        <w:t>Assay samples and other small quantities of materials are excluded from the determination of origin requirement provided the aggregate amount received by the smelter over the audit period is less than 0.3% of the total receipts over the same period.</w:t>
      </w:r>
    </w:p>
    <w:p w14:paraId="3F9B617D" w14:textId="77777777" w:rsidR="00FF1CE8" w:rsidRDefault="00FF1CE8" w:rsidP="00C21A33">
      <w:pPr>
        <w:spacing w:after="0" w:line="240" w:lineRule="auto"/>
        <w:jc w:val="both"/>
      </w:pPr>
    </w:p>
    <w:p w14:paraId="34ECDBB5" w14:textId="77777777" w:rsidR="00FF1CE8" w:rsidRDefault="00FF1CE8" w:rsidP="00C21A33">
      <w:pPr>
        <w:spacing w:after="0" w:line="240" w:lineRule="auto"/>
        <w:jc w:val="both"/>
      </w:pPr>
    </w:p>
    <w:p w14:paraId="5CAB71FC" w14:textId="566EA530" w:rsidR="007C4C71" w:rsidRDefault="007C4C71" w:rsidP="00C21A33">
      <w:pPr>
        <w:spacing w:after="0" w:line="240" w:lineRule="auto"/>
        <w:jc w:val="both"/>
      </w:pPr>
      <w:r>
        <w:br w:type="page"/>
      </w:r>
    </w:p>
    <w:p w14:paraId="5D6F201E" w14:textId="321993EE" w:rsidR="009A6217" w:rsidRDefault="007C4C71" w:rsidP="00C21A33">
      <w:pPr>
        <w:pStyle w:val="Heading2"/>
        <w:numPr>
          <w:ilvl w:val="0"/>
          <w:numId w:val="0"/>
        </w:numPr>
        <w:spacing w:before="0"/>
        <w:jc w:val="both"/>
      </w:pPr>
      <w:bookmarkStart w:id="41" w:name="_Toc315084485"/>
      <w:bookmarkStart w:id="42" w:name="_Toc450308536"/>
      <w:r>
        <w:lastRenderedPageBreak/>
        <w:t xml:space="preserve">Annex II: </w:t>
      </w:r>
      <w:r w:rsidR="009A6217">
        <w:t>Supplying Smelter</w:t>
      </w:r>
      <w:r>
        <w:t xml:space="preserve"> / Exchanges</w:t>
      </w:r>
      <w:r w:rsidR="009A6217">
        <w:t xml:space="preserve"> Origin Determination Requirements</w:t>
      </w:r>
      <w:bookmarkEnd w:id="41"/>
      <w:bookmarkEnd w:id="42"/>
    </w:p>
    <w:p w14:paraId="4D623C21" w14:textId="77777777" w:rsidR="007C4C71" w:rsidRDefault="007C4C71" w:rsidP="00C21A33">
      <w:pPr>
        <w:spacing w:after="0" w:line="240" w:lineRule="auto"/>
        <w:jc w:val="both"/>
      </w:pPr>
    </w:p>
    <w:p w14:paraId="59613E16" w14:textId="0297AC36" w:rsidR="009B2AC5" w:rsidRPr="00677261" w:rsidRDefault="009B2AC5" w:rsidP="009B2AC5">
      <w:pPr>
        <w:pStyle w:val="Caption"/>
        <w:spacing w:after="0"/>
      </w:pPr>
      <w:r>
        <w:t>Table 8: Supplying Smelter and Exchanges</w:t>
      </w:r>
    </w:p>
    <w:tbl>
      <w:tblPr>
        <w:tblStyle w:val="TableGrid"/>
        <w:tblW w:w="0" w:type="auto"/>
        <w:tblLayout w:type="fixed"/>
        <w:tblLook w:val="04A0" w:firstRow="1" w:lastRow="0" w:firstColumn="1" w:lastColumn="0" w:noHBand="0" w:noVBand="1"/>
      </w:tblPr>
      <w:tblGrid>
        <w:gridCol w:w="1526"/>
        <w:gridCol w:w="4536"/>
        <w:gridCol w:w="3280"/>
      </w:tblGrid>
      <w:tr w:rsidR="00B570DC" w:rsidRPr="00716F58" w14:paraId="2E58C7B1" w14:textId="77777777" w:rsidTr="002759E7">
        <w:tc>
          <w:tcPr>
            <w:tcW w:w="1526" w:type="dxa"/>
            <w:vAlign w:val="center"/>
          </w:tcPr>
          <w:p w14:paraId="6D81CF03" w14:textId="6651AA18" w:rsidR="00B570DC" w:rsidRPr="00464B04" w:rsidRDefault="00B570DC" w:rsidP="002759E7">
            <w:pPr>
              <w:jc w:val="center"/>
              <w:rPr>
                <w:b/>
                <w:lang w:val="en-GB"/>
              </w:rPr>
            </w:pPr>
            <w:r w:rsidRPr="00464B04">
              <w:rPr>
                <w:b/>
                <w:lang w:val="en-GB"/>
              </w:rPr>
              <w:t>Supplier Type</w:t>
            </w:r>
          </w:p>
        </w:tc>
        <w:tc>
          <w:tcPr>
            <w:tcW w:w="4536" w:type="dxa"/>
            <w:vAlign w:val="center"/>
          </w:tcPr>
          <w:p w14:paraId="27EF9C2E" w14:textId="54C44DE5" w:rsidR="00B570DC" w:rsidRPr="00716F58" w:rsidRDefault="00215351" w:rsidP="002759E7">
            <w:pPr>
              <w:jc w:val="center"/>
              <w:rPr>
                <w:b/>
                <w:lang w:val="en-GB"/>
              </w:rPr>
            </w:pPr>
            <w:r>
              <w:rPr>
                <w:b/>
                <w:lang w:val="en-GB"/>
              </w:rPr>
              <w:t>Requirement</w:t>
            </w:r>
          </w:p>
        </w:tc>
        <w:tc>
          <w:tcPr>
            <w:tcW w:w="3280" w:type="dxa"/>
            <w:vAlign w:val="center"/>
          </w:tcPr>
          <w:p w14:paraId="2E474E61" w14:textId="77777777" w:rsidR="00B570DC" w:rsidRPr="00716F58" w:rsidRDefault="00B570DC" w:rsidP="002759E7">
            <w:pPr>
              <w:jc w:val="center"/>
              <w:rPr>
                <w:b/>
                <w:lang w:val="en-GB"/>
              </w:rPr>
            </w:pPr>
            <w:r w:rsidRPr="00716F58">
              <w:rPr>
                <w:b/>
                <w:lang w:val="en-GB"/>
              </w:rPr>
              <w:t>Example Document Types</w:t>
            </w:r>
          </w:p>
          <w:p w14:paraId="0096A586" w14:textId="77777777" w:rsidR="00B570DC" w:rsidRPr="00716F58" w:rsidRDefault="00B570DC" w:rsidP="002759E7">
            <w:pPr>
              <w:jc w:val="center"/>
              <w:rPr>
                <w:b/>
                <w:lang w:val="en-GB"/>
              </w:rPr>
            </w:pPr>
            <w:r w:rsidRPr="00716F58">
              <w:rPr>
                <w:b/>
                <w:lang w:val="en-GB"/>
              </w:rPr>
              <w:t>(Not every document is necessary)</w:t>
            </w:r>
          </w:p>
        </w:tc>
      </w:tr>
      <w:tr w:rsidR="00B570DC" w14:paraId="7C48ADDF" w14:textId="77777777" w:rsidTr="00677261">
        <w:tc>
          <w:tcPr>
            <w:tcW w:w="1526" w:type="dxa"/>
          </w:tcPr>
          <w:p w14:paraId="31D44D47" w14:textId="03DCDB87" w:rsidR="00B570DC" w:rsidRPr="00464B04" w:rsidRDefault="00B570DC" w:rsidP="00C21A33">
            <w:pPr>
              <w:jc w:val="both"/>
              <w:rPr>
                <w:b/>
              </w:rPr>
            </w:pPr>
            <w:r w:rsidRPr="00464B04">
              <w:rPr>
                <w:b/>
              </w:rPr>
              <w:t>CFSP, or equivalent, compliant smelters</w:t>
            </w:r>
          </w:p>
        </w:tc>
        <w:tc>
          <w:tcPr>
            <w:tcW w:w="4536" w:type="dxa"/>
          </w:tcPr>
          <w:p w14:paraId="691615DA" w14:textId="01F0D001" w:rsidR="00B570DC" w:rsidRDefault="00B570DC" w:rsidP="00C21A33">
            <w:pPr>
              <w:jc w:val="both"/>
            </w:pPr>
            <w:r>
              <w:t>Deliveries of materials from a CFS</w:t>
            </w:r>
            <w:r w:rsidR="002759E7">
              <w:t>P</w:t>
            </w:r>
            <w:r>
              <w:t>-compliant smelter do not need ind</w:t>
            </w:r>
            <w:r w:rsidR="002759E7">
              <w:t>ependent origin determination</w:t>
            </w:r>
            <w:r>
              <w:t>.</w:t>
            </w:r>
          </w:p>
          <w:p w14:paraId="0F51286F" w14:textId="77777777" w:rsidR="00B570DC" w:rsidRDefault="00B570DC" w:rsidP="00C21A33">
            <w:pPr>
              <w:jc w:val="both"/>
            </w:pPr>
          </w:p>
          <w:p w14:paraId="38A564F3" w14:textId="2781C95E" w:rsidR="00B570DC" w:rsidRDefault="00B570DC" w:rsidP="00C21A33">
            <w:pPr>
              <w:jc w:val="both"/>
              <w:rPr>
                <w:u w:val="single"/>
              </w:rPr>
            </w:pPr>
            <w:r>
              <w:t>Documentation requirements are significantly reduced, regardless of the level of risk associated with the type and source of the materials.</w:t>
            </w:r>
          </w:p>
        </w:tc>
        <w:tc>
          <w:tcPr>
            <w:tcW w:w="3280" w:type="dxa"/>
          </w:tcPr>
          <w:p w14:paraId="0B93BC1E" w14:textId="77777777" w:rsidR="00B570DC" w:rsidRDefault="00B570DC" w:rsidP="006256DB">
            <w:pPr>
              <w:pStyle w:val="ListParagraph"/>
              <w:numPr>
                <w:ilvl w:val="0"/>
                <w:numId w:val="17"/>
              </w:numPr>
              <w:ind w:left="418"/>
              <w:jc w:val="both"/>
            </w:pPr>
            <w:r>
              <w:t>Certificate of Analysis (CoA) or other appropriate documentation showing production date</w:t>
            </w:r>
          </w:p>
          <w:p w14:paraId="3DA486C4" w14:textId="77777777" w:rsidR="00B570DC" w:rsidRDefault="00B570DC" w:rsidP="006256DB">
            <w:pPr>
              <w:pStyle w:val="ListParagraph"/>
              <w:numPr>
                <w:ilvl w:val="0"/>
                <w:numId w:val="17"/>
              </w:numPr>
              <w:ind w:left="418"/>
              <w:jc w:val="both"/>
            </w:pPr>
            <w:r>
              <w:t>Identity of the supplying smelter</w:t>
            </w:r>
          </w:p>
          <w:p w14:paraId="3C1E950B" w14:textId="3E93EE26" w:rsidR="00B570DC" w:rsidRPr="00B570DC" w:rsidRDefault="00B570DC" w:rsidP="006256DB">
            <w:pPr>
              <w:pStyle w:val="ListParagraph"/>
              <w:numPr>
                <w:ilvl w:val="0"/>
                <w:numId w:val="17"/>
              </w:numPr>
              <w:ind w:left="418"/>
              <w:jc w:val="both"/>
            </w:pPr>
            <w:r>
              <w:t>Transport documentation from the supplying smelter</w:t>
            </w:r>
          </w:p>
        </w:tc>
      </w:tr>
      <w:tr w:rsidR="0051372D" w14:paraId="0E6A1E1D" w14:textId="77777777" w:rsidTr="00677261">
        <w:tc>
          <w:tcPr>
            <w:tcW w:w="1526" w:type="dxa"/>
          </w:tcPr>
          <w:p w14:paraId="50913643" w14:textId="03EE0466" w:rsidR="0051372D" w:rsidRPr="00464B04" w:rsidRDefault="00234E08" w:rsidP="00C21A33">
            <w:pPr>
              <w:jc w:val="both"/>
              <w:rPr>
                <w:b/>
              </w:rPr>
            </w:pPr>
            <w:r w:rsidRPr="00464B04">
              <w:rPr>
                <w:b/>
              </w:rPr>
              <w:t>Non</w:t>
            </w:r>
            <w:r w:rsidR="0051372D" w:rsidRPr="00464B04">
              <w:rPr>
                <w:b/>
              </w:rPr>
              <w:t>-CFSP, or equivalent, compliant smelters</w:t>
            </w:r>
          </w:p>
          <w:p w14:paraId="718961FD" w14:textId="3CA50FB0" w:rsidR="00031928" w:rsidRPr="00464B04" w:rsidRDefault="00031928" w:rsidP="00C21A33">
            <w:pPr>
              <w:jc w:val="both"/>
              <w:rPr>
                <w:b/>
              </w:rPr>
            </w:pPr>
          </w:p>
        </w:tc>
        <w:tc>
          <w:tcPr>
            <w:tcW w:w="4536" w:type="dxa"/>
          </w:tcPr>
          <w:p w14:paraId="572ABB85" w14:textId="209D081B" w:rsidR="009B18FF" w:rsidRDefault="009B18FF" w:rsidP="00C21A33">
            <w:pPr>
              <w:jc w:val="both"/>
            </w:pPr>
            <w:r>
              <w:t>Non-CFSP (or equivalent) compliant smelters include any smelter that has not been audited and found compliant yet, including:</w:t>
            </w:r>
          </w:p>
          <w:p w14:paraId="499A3914" w14:textId="75DB82FF" w:rsidR="009B18FF" w:rsidRDefault="009B18FF" w:rsidP="006256DB">
            <w:pPr>
              <w:pStyle w:val="ListParagraph"/>
              <w:numPr>
                <w:ilvl w:val="0"/>
                <w:numId w:val="51"/>
              </w:numPr>
              <w:ind w:left="454"/>
              <w:jc w:val="both"/>
            </w:pPr>
            <w:r>
              <w:t>CFSP active smelters</w:t>
            </w:r>
          </w:p>
          <w:p w14:paraId="4A5DA10F" w14:textId="3A8EEE25" w:rsidR="00AE74A0" w:rsidRDefault="00AE74A0" w:rsidP="006256DB">
            <w:pPr>
              <w:pStyle w:val="ListParagraph"/>
              <w:numPr>
                <w:ilvl w:val="0"/>
                <w:numId w:val="51"/>
              </w:numPr>
              <w:ind w:left="454"/>
              <w:jc w:val="both"/>
            </w:pPr>
            <w:r>
              <w:t>Extended Corrective Action Plan Smelters</w:t>
            </w:r>
          </w:p>
          <w:p w14:paraId="36FFC89C" w14:textId="60D90A1F" w:rsidR="009B18FF" w:rsidRDefault="009B18FF" w:rsidP="006256DB">
            <w:pPr>
              <w:pStyle w:val="ListParagraph"/>
              <w:numPr>
                <w:ilvl w:val="0"/>
                <w:numId w:val="51"/>
              </w:numPr>
              <w:ind w:left="454"/>
              <w:jc w:val="both"/>
            </w:pPr>
            <w:r>
              <w:t>Non-CFSP compliant tolling smelters</w:t>
            </w:r>
          </w:p>
          <w:p w14:paraId="08BC3A68" w14:textId="77777777" w:rsidR="009B18FF" w:rsidRDefault="009B18FF" w:rsidP="006256DB">
            <w:pPr>
              <w:pStyle w:val="ListParagraph"/>
              <w:numPr>
                <w:ilvl w:val="0"/>
                <w:numId w:val="51"/>
              </w:numPr>
              <w:ind w:left="454"/>
              <w:jc w:val="both"/>
            </w:pPr>
            <w:r>
              <w:t>Smelters without a CFSI identification number (CID number)</w:t>
            </w:r>
          </w:p>
          <w:p w14:paraId="2AB8E6FB" w14:textId="77777777" w:rsidR="00760E8F" w:rsidRDefault="009B18FF" w:rsidP="006256DB">
            <w:pPr>
              <w:pStyle w:val="ListParagraph"/>
              <w:numPr>
                <w:ilvl w:val="0"/>
                <w:numId w:val="51"/>
              </w:numPr>
              <w:ind w:left="454"/>
              <w:jc w:val="both"/>
            </w:pPr>
            <w:r>
              <w:t>Any other smelter that has not been audited and found compliant by CFSP or an equivalent program</w:t>
            </w:r>
          </w:p>
          <w:p w14:paraId="51E574F8" w14:textId="77777777" w:rsidR="002114E2" w:rsidRDefault="002114E2" w:rsidP="00C21A33">
            <w:pPr>
              <w:ind w:left="99"/>
              <w:jc w:val="both"/>
            </w:pPr>
          </w:p>
          <w:p w14:paraId="6AC53438" w14:textId="5B239019" w:rsidR="002114E2" w:rsidRDefault="002114E2" w:rsidP="00C21A33">
            <w:pPr>
              <w:jc w:val="both"/>
            </w:pPr>
            <w:r w:rsidRPr="008A0C30">
              <w:t xml:space="preserve">Materials sourced </w:t>
            </w:r>
            <w:r w:rsidR="00AE74A0" w:rsidRPr="008A0C30">
              <w:t>f</w:t>
            </w:r>
            <w:r w:rsidR="00AE74A0">
              <w:t>r</w:t>
            </w:r>
            <w:r w:rsidR="00AE74A0" w:rsidRPr="008A0C30">
              <w:t>om</w:t>
            </w:r>
            <w:r w:rsidRPr="008A0C30">
              <w:t xml:space="preserve"> non-CFSP (or equivalent) compliant smelters have not bee</w:t>
            </w:r>
            <w:r>
              <w:t>n</w:t>
            </w:r>
            <w:r w:rsidRPr="008A0C30">
              <w:t xml:space="preserve"> validated yet and require the following steps</w:t>
            </w:r>
            <w:r>
              <w:t xml:space="preserve">: </w:t>
            </w:r>
          </w:p>
          <w:p w14:paraId="245BE446" w14:textId="434CAE67" w:rsidR="0051372D" w:rsidRPr="008A0C30" w:rsidRDefault="0051372D" w:rsidP="00C21A33">
            <w:pPr>
              <w:jc w:val="both"/>
            </w:pPr>
          </w:p>
          <w:p w14:paraId="31BDFF04" w14:textId="723E566A" w:rsidR="0051372D" w:rsidRDefault="00AA57F3" w:rsidP="00C21A33">
            <w:pPr>
              <w:jc w:val="both"/>
            </w:pPr>
            <w:r>
              <w:rPr>
                <w:b/>
              </w:rPr>
              <w:t>Step A:</w:t>
            </w:r>
            <w:r w:rsidR="0051372D" w:rsidRPr="008A0C30">
              <w:t xml:space="preserve"> Determine the material initially sourced by the supplying smelter and that were used to produce the materials received by the audited smelter. If specific inputs cannot be identified by the supplying smelter, </w:t>
            </w:r>
            <w:r w:rsidR="0051372D" w:rsidRPr="008A0C30">
              <w:rPr>
                <w:b/>
              </w:rPr>
              <w:t>all inputs</w:t>
            </w:r>
            <w:r w:rsidR="0051372D" w:rsidRPr="008A0C30">
              <w:t xml:space="preserve"> of the supplying smelter must be validated.</w:t>
            </w:r>
          </w:p>
          <w:p w14:paraId="30C5F12F" w14:textId="77777777" w:rsidR="002114E2" w:rsidRDefault="002114E2" w:rsidP="00C21A33">
            <w:pPr>
              <w:jc w:val="both"/>
            </w:pPr>
          </w:p>
          <w:p w14:paraId="19AD0BB3" w14:textId="333A3088" w:rsidR="00C8616F" w:rsidRDefault="00F336B7" w:rsidP="00C21A33">
            <w:pPr>
              <w:jc w:val="both"/>
              <w:rPr>
                <w:b/>
              </w:rPr>
            </w:pPr>
            <w:r>
              <w:rPr>
                <w:b/>
              </w:rPr>
              <w:t>Smelters must conduct the same process of determination of applicability and origin determination for the specific inputs identified or, if that is not possible, ALL input</w:t>
            </w:r>
            <w:r w:rsidR="00170F3E">
              <w:rPr>
                <w:b/>
              </w:rPr>
              <w:t>s used by the supplying smelter. All documentation shall be requested from the supplying smelter.</w:t>
            </w:r>
          </w:p>
          <w:p w14:paraId="5A085B09" w14:textId="77777777" w:rsidR="002114E2" w:rsidRPr="008A0C30" w:rsidRDefault="002114E2" w:rsidP="00C21A33">
            <w:pPr>
              <w:jc w:val="both"/>
            </w:pPr>
          </w:p>
          <w:p w14:paraId="6DB5C921" w14:textId="1A442252" w:rsidR="00E6749C" w:rsidRDefault="00AA57F3" w:rsidP="00C21A33">
            <w:pPr>
              <w:jc w:val="both"/>
            </w:pPr>
            <w:r>
              <w:rPr>
                <w:b/>
              </w:rPr>
              <w:t>Step B</w:t>
            </w:r>
            <w:r w:rsidR="002114E2">
              <w:rPr>
                <w:b/>
              </w:rPr>
              <w:t>:</w:t>
            </w:r>
            <w:r w:rsidR="0051372D" w:rsidRPr="008A0C30">
              <w:t xml:space="preserve"> Determination of applicability of the origin determination</w:t>
            </w:r>
            <w:r w:rsidR="00E6749C">
              <w:t xml:space="preserve">, </w:t>
            </w:r>
            <w:r w:rsidR="00E6749C" w:rsidRPr="008A0C30">
              <w:t xml:space="preserve">See Section VII.D, Figure </w:t>
            </w:r>
            <w:r w:rsidR="00E6749C" w:rsidRPr="008A0C30">
              <w:lastRenderedPageBreak/>
              <w:t>1: Flow Chart for detailed requirements</w:t>
            </w:r>
            <w:r w:rsidR="00E6749C">
              <w:t xml:space="preserve">. </w:t>
            </w:r>
          </w:p>
          <w:p w14:paraId="0012F19B" w14:textId="7654E123" w:rsidR="00E6749C" w:rsidRDefault="00E6749C" w:rsidP="006256DB">
            <w:pPr>
              <w:pStyle w:val="ListParagraph"/>
              <w:numPr>
                <w:ilvl w:val="0"/>
                <w:numId w:val="52"/>
              </w:numPr>
              <w:ind w:left="454"/>
              <w:jc w:val="both"/>
            </w:pPr>
            <w:r>
              <w:t>Identify the type of material purchased by the supplying smelter.</w:t>
            </w:r>
          </w:p>
          <w:p w14:paraId="1F814F00" w14:textId="2AE15E53" w:rsidR="0051372D" w:rsidRPr="008A0C30" w:rsidRDefault="00E6749C" w:rsidP="006256DB">
            <w:pPr>
              <w:pStyle w:val="ListParagraph"/>
              <w:numPr>
                <w:ilvl w:val="0"/>
                <w:numId w:val="52"/>
              </w:numPr>
              <w:ind w:left="454"/>
              <w:jc w:val="both"/>
            </w:pPr>
            <w:r>
              <w:t>Use the Flow Chart of this Audit Protocol to determine if the material requires the full origin determination.</w:t>
            </w:r>
          </w:p>
          <w:p w14:paraId="5B0A3602" w14:textId="77777777" w:rsidR="00E6749C" w:rsidRDefault="00E6749C" w:rsidP="00C21A33">
            <w:pPr>
              <w:jc w:val="both"/>
            </w:pPr>
          </w:p>
          <w:p w14:paraId="2BC6002D" w14:textId="730120FE" w:rsidR="0051372D" w:rsidRDefault="00E6749C" w:rsidP="00C21A33">
            <w:pPr>
              <w:jc w:val="both"/>
            </w:pPr>
            <w:r>
              <w:rPr>
                <w:b/>
              </w:rPr>
              <w:t xml:space="preserve">Step </w:t>
            </w:r>
            <w:r w:rsidR="00AA57F3">
              <w:rPr>
                <w:b/>
              </w:rPr>
              <w:t>C</w:t>
            </w:r>
            <w:r>
              <w:rPr>
                <w:b/>
              </w:rPr>
              <w:t>:</w:t>
            </w:r>
            <w:r w:rsidR="0051372D" w:rsidRPr="008A0C30">
              <w:t xml:space="preserve"> Implement the system of supply chain control and transparency, Steps 1-6 for mined material and Steps 1-4 for any other material on the material originally sourced</w:t>
            </w:r>
            <w:r w:rsidR="002759E7">
              <w:t xml:space="preserve"> by the supplying smelter. See S</w:t>
            </w:r>
            <w:r w:rsidR="0051372D" w:rsidRPr="008A0C30">
              <w:t>ection XI for detailed requirements.</w:t>
            </w:r>
          </w:p>
          <w:p w14:paraId="65A40C55" w14:textId="63F8136C" w:rsidR="00E6749C" w:rsidRDefault="00F36D1B" w:rsidP="006256DB">
            <w:pPr>
              <w:pStyle w:val="ListParagraph"/>
              <w:numPr>
                <w:ilvl w:val="0"/>
                <w:numId w:val="53"/>
              </w:numPr>
              <w:ind w:left="454"/>
              <w:jc w:val="both"/>
            </w:pPr>
            <w:r>
              <w:t>Conduct the plausibility assessment for all material purchased by the supplying smelter</w:t>
            </w:r>
            <w:r w:rsidR="00170F3E">
              <w:t>.</w:t>
            </w:r>
          </w:p>
          <w:p w14:paraId="03DDF3CC" w14:textId="73D2DEAD" w:rsidR="00170F3E" w:rsidRDefault="00170F3E" w:rsidP="006256DB">
            <w:pPr>
              <w:pStyle w:val="ListParagraph"/>
              <w:numPr>
                <w:ilvl w:val="0"/>
                <w:numId w:val="53"/>
              </w:numPr>
              <w:ind w:left="454"/>
              <w:jc w:val="both"/>
            </w:pPr>
            <w:r>
              <w:t>Collect and review origin documentation in accordance wit</w:t>
            </w:r>
            <w:r w:rsidR="00640371">
              <w:t>h the type of material sourced as outlined in Annex I of this Audit Protocol.</w:t>
            </w:r>
          </w:p>
          <w:p w14:paraId="02CEB2BC" w14:textId="77777777" w:rsidR="00170F3E" w:rsidRPr="008A0C30" w:rsidRDefault="00170F3E" w:rsidP="00C21A33">
            <w:pPr>
              <w:jc w:val="both"/>
            </w:pPr>
          </w:p>
          <w:p w14:paraId="401D4D5D" w14:textId="11884A54" w:rsidR="0051372D" w:rsidRDefault="00170F3E" w:rsidP="00C21A33">
            <w:pPr>
              <w:jc w:val="both"/>
            </w:pPr>
            <w:r>
              <w:rPr>
                <w:b/>
              </w:rPr>
              <w:t xml:space="preserve">Step </w:t>
            </w:r>
            <w:r w:rsidR="00AA57F3">
              <w:rPr>
                <w:b/>
              </w:rPr>
              <w:t>D</w:t>
            </w:r>
            <w:r>
              <w:rPr>
                <w:b/>
              </w:rPr>
              <w:t>:</w:t>
            </w:r>
            <w:r w:rsidR="0051372D" w:rsidRPr="008A0C30">
              <w:t xml:space="preserve"> Conduct the risk assessment for all material originally </w:t>
            </w:r>
            <w:r>
              <w:t>purchased</w:t>
            </w:r>
            <w:r w:rsidRPr="008A0C30">
              <w:t xml:space="preserve"> </w:t>
            </w:r>
            <w:r w:rsidR="0051372D" w:rsidRPr="008A0C30">
              <w:t>by the supplying smelter. See section XII for detailed requirements.</w:t>
            </w:r>
          </w:p>
          <w:p w14:paraId="40E33AEE" w14:textId="66CFB1C4" w:rsidR="00170F3E" w:rsidRDefault="002218B9" w:rsidP="006256DB">
            <w:pPr>
              <w:pStyle w:val="ListParagraph"/>
              <w:numPr>
                <w:ilvl w:val="3"/>
                <w:numId w:val="54"/>
              </w:numPr>
              <w:ind w:left="454"/>
              <w:jc w:val="both"/>
            </w:pPr>
            <w:r>
              <w:t>Determine the category of material</w:t>
            </w:r>
          </w:p>
          <w:p w14:paraId="43C88BFA" w14:textId="000243AE" w:rsidR="002218B9" w:rsidRDefault="002218B9" w:rsidP="006256DB">
            <w:pPr>
              <w:pStyle w:val="ListParagraph"/>
              <w:numPr>
                <w:ilvl w:val="3"/>
                <w:numId w:val="54"/>
              </w:numPr>
              <w:ind w:left="454"/>
              <w:jc w:val="both"/>
            </w:pPr>
            <w:r>
              <w:t>Determine the risk level for each purchase</w:t>
            </w:r>
          </w:p>
          <w:p w14:paraId="34983AC1" w14:textId="77777777" w:rsidR="00AA57F3" w:rsidRDefault="00AA57F3" w:rsidP="00AA57F3">
            <w:pPr>
              <w:pStyle w:val="ListParagraph"/>
              <w:numPr>
                <w:ilvl w:val="0"/>
                <w:numId w:val="54"/>
              </w:numPr>
              <w:ind w:left="454"/>
              <w:jc w:val="both"/>
            </w:pPr>
            <w:r>
              <w:t xml:space="preserve">Conduct the risk assessment. </w:t>
            </w:r>
          </w:p>
          <w:p w14:paraId="3E812D8F" w14:textId="73983F81" w:rsidR="002218B9" w:rsidRPr="008A0C30" w:rsidRDefault="00AA57F3" w:rsidP="00AA57F3">
            <w:pPr>
              <w:pStyle w:val="ListParagraph"/>
              <w:numPr>
                <w:ilvl w:val="0"/>
                <w:numId w:val="54"/>
              </w:numPr>
              <w:ind w:left="454"/>
              <w:jc w:val="both"/>
            </w:pPr>
            <w:r>
              <w:t xml:space="preserve">For Level 2, </w:t>
            </w:r>
            <w:r w:rsidR="002218B9">
              <w:t>Level 3</w:t>
            </w:r>
            <w:r>
              <w:t>, and Other CAHRA</w:t>
            </w:r>
            <w:r w:rsidR="002218B9">
              <w:t xml:space="preserve"> purchases</w:t>
            </w:r>
            <w:r>
              <w:t>,</w:t>
            </w:r>
            <w:r w:rsidR="002218B9">
              <w:t xml:space="preserve"> </w:t>
            </w:r>
            <w:r>
              <w:t xml:space="preserve">conduct risk mitigation </w:t>
            </w:r>
            <w:r w:rsidR="002218B9">
              <w:t>in accordance with the OECD Due Diligence Guidance.</w:t>
            </w:r>
          </w:p>
        </w:tc>
        <w:tc>
          <w:tcPr>
            <w:tcW w:w="3280" w:type="dxa"/>
          </w:tcPr>
          <w:p w14:paraId="33DC0114" w14:textId="0D932E7A" w:rsidR="0051372D" w:rsidRPr="008A0C30" w:rsidRDefault="0051372D" w:rsidP="006256DB">
            <w:pPr>
              <w:pStyle w:val="ListParagraph"/>
              <w:numPr>
                <w:ilvl w:val="0"/>
                <w:numId w:val="29"/>
              </w:numPr>
              <w:ind w:left="418"/>
              <w:jc w:val="both"/>
            </w:pPr>
            <w:r w:rsidRPr="008A0C30">
              <w:lastRenderedPageBreak/>
              <w:t>Identify of the supplying smelter;</w:t>
            </w:r>
          </w:p>
          <w:p w14:paraId="2A9CDCD9" w14:textId="0AF90398" w:rsidR="0051372D" w:rsidRPr="008A0C30" w:rsidRDefault="0051372D" w:rsidP="006256DB">
            <w:pPr>
              <w:pStyle w:val="ListParagraph"/>
              <w:numPr>
                <w:ilvl w:val="0"/>
                <w:numId w:val="29"/>
              </w:numPr>
              <w:ind w:left="418"/>
              <w:jc w:val="both"/>
            </w:pPr>
            <w:r w:rsidRPr="008A0C30">
              <w:t>Transport documentation from the supplying smelter;</w:t>
            </w:r>
          </w:p>
          <w:p w14:paraId="50010877" w14:textId="77777777" w:rsidR="0051372D" w:rsidRPr="008A0C30" w:rsidRDefault="0051372D" w:rsidP="006256DB">
            <w:pPr>
              <w:pStyle w:val="ListParagraph"/>
              <w:numPr>
                <w:ilvl w:val="0"/>
                <w:numId w:val="29"/>
              </w:numPr>
              <w:ind w:left="418"/>
              <w:jc w:val="both"/>
            </w:pPr>
            <w:r w:rsidRPr="008A0C30">
              <w:t>Reasonable records identifying specific inputs used for the production of materials received from the supplying smelter; OR</w:t>
            </w:r>
          </w:p>
          <w:p w14:paraId="5E133D83" w14:textId="5F21D289" w:rsidR="0051372D" w:rsidRPr="008A0C30" w:rsidRDefault="00DC628C" w:rsidP="006256DB">
            <w:pPr>
              <w:pStyle w:val="ListParagraph"/>
              <w:numPr>
                <w:ilvl w:val="0"/>
                <w:numId w:val="29"/>
              </w:numPr>
              <w:ind w:left="418"/>
              <w:jc w:val="both"/>
            </w:pPr>
            <w:r>
              <w:t>LIS</w:t>
            </w:r>
            <w:r w:rsidR="0051372D" w:rsidRPr="008A0C30">
              <w:t xml:space="preserve"> (or equivalent) from the supplying smelter;</w:t>
            </w:r>
          </w:p>
          <w:p w14:paraId="7CBD8A28" w14:textId="579D5B6B" w:rsidR="0051372D" w:rsidRPr="008A0C30" w:rsidRDefault="0051372D" w:rsidP="006256DB">
            <w:pPr>
              <w:pStyle w:val="ListParagraph"/>
              <w:numPr>
                <w:ilvl w:val="0"/>
                <w:numId w:val="29"/>
              </w:numPr>
              <w:ind w:left="418"/>
              <w:jc w:val="both"/>
            </w:pPr>
            <w:r w:rsidRPr="008A0C30">
              <w:t>Documentation of origin for each material initially used by the supplying smelter to produce the materials received, in accordance with the tables in Annex I.</w:t>
            </w:r>
          </w:p>
        </w:tc>
      </w:tr>
      <w:tr w:rsidR="00823ADD" w14:paraId="74603753" w14:textId="77777777" w:rsidTr="00677261">
        <w:tc>
          <w:tcPr>
            <w:tcW w:w="1526" w:type="dxa"/>
          </w:tcPr>
          <w:p w14:paraId="0C68D3FD" w14:textId="36792732" w:rsidR="00823ADD" w:rsidRPr="00464B04" w:rsidRDefault="00615F3F" w:rsidP="00C21A33">
            <w:pPr>
              <w:jc w:val="both"/>
              <w:rPr>
                <w:b/>
              </w:rPr>
            </w:pPr>
            <w:r w:rsidRPr="00464B04">
              <w:rPr>
                <w:b/>
              </w:rPr>
              <w:t xml:space="preserve">Tin </w:t>
            </w:r>
            <w:r w:rsidR="00823ADD" w:rsidRPr="00464B04">
              <w:rPr>
                <w:b/>
              </w:rPr>
              <w:t>Refin</w:t>
            </w:r>
            <w:r w:rsidRPr="00464B04">
              <w:rPr>
                <w:b/>
              </w:rPr>
              <w:t>ing Companies</w:t>
            </w:r>
            <w:r w:rsidR="00D429BC" w:rsidRPr="00464B04">
              <w:rPr>
                <w:b/>
              </w:rPr>
              <w:t xml:space="preserve"> &amp; Tolling</w:t>
            </w:r>
            <w:r w:rsidR="0008687D" w:rsidRPr="00464B04">
              <w:rPr>
                <w:b/>
              </w:rPr>
              <w:t xml:space="preserve"> </w:t>
            </w:r>
          </w:p>
        </w:tc>
        <w:tc>
          <w:tcPr>
            <w:tcW w:w="4536" w:type="dxa"/>
          </w:tcPr>
          <w:p w14:paraId="46467FE9" w14:textId="423A3473" w:rsidR="00FE0B32" w:rsidRDefault="00615F3F" w:rsidP="00C21A33">
            <w:pPr>
              <w:jc w:val="both"/>
            </w:pPr>
            <w:r>
              <w:t>Independent tin refiners perform the tasks of removing impurities or other unwanted materials.</w:t>
            </w:r>
          </w:p>
          <w:p w14:paraId="0D1B8CCF" w14:textId="77777777" w:rsidR="00FE0B32" w:rsidRDefault="00FE0B32" w:rsidP="00C21A33">
            <w:pPr>
              <w:jc w:val="both"/>
            </w:pPr>
          </w:p>
          <w:p w14:paraId="43C79A37" w14:textId="77777777" w:rsidR="0060270E" w:rsidRDefault="0060270E" w:rsidP="00C21A33">
            <w:pPr>
              <w:jc w:val="both"/>
            </w:pPr>
            <w:r>
              <w:t xml:space="preserve">In cases of tolling, </w:t>
            </w:r>
            <w:r w:rsidR="00FE0B32" w:rsidRPr="00716F58">
              <w:t xml:space="preserve">a conversion of the overall makeup of the materials including the treatment or removal of specific undesirable elements </w:t>
            </w:r>
            <w:r>
              <w:t>is carried out by a smelter on behalf of the client</w:t>
            </w:r>
            <w:r w:rsidR="00835318">
              <w:t xml:space="preserve">. </w:t>
            </w:r>
          </w:p>
          <w:p w14:paraId="0B482A62" w14:textId="77777777" w:rsidR="0060270E" w:rsidRDefault="0060270E" w:rsidP="00C21A33">
            <w:pPr>
              <w:jc w:val="both"/>
            </w:pPr>
          </w:p>
          <w:p w14:paraId="37CAFF7A" w14:textId="6C7BEEF2" w:rsidR="0060270E" w:rsidRDefault="0060270E" w:rsidP="00C21A33">
            <w:pPr>
              <w:jc w:val="both"/>
            </w:pPr>
            <w:r>
              <w:t>Material sent to another smelter for processing is considered part of the audited smelter’s receipts and production.</w:t>
            </w:r>
          </w:p>
          <w:p w14:paraId="698AB3AC" w14:textId="77777777" w:rsidR="0060270E" w:rsidRDefault="0060270E" w:rsidP="00C21A33">
            <w:pPr>
              <w:jc w:val="both"/>
            </w:pPr>
          </w:p>
          <w:p w14:paraId="05E621B5" w14:textId="219F534F" w:rsidR="0060270E" w:rsidRDefault="0060270E" w:rsidP="00C21A33">
            <w:pPr>
              <w:jc w:val="both"/>
            </w:pPr>
            <w:r>
              <w:t xml:space="preserve">Material received from another smelter for </w:t>
            </w:r>
            <w:r>
              <w:lastRenderedPageBreak/>
              <w:t>processing is considered part of the supplying smelter’s receipts and production</w:t>
            </w:r>
            <w:r w:rsidR="0074607E">
              <w:t>.</w:t>
            </w:r>
          </w:p>
          <w:p w14:paraId="7CE2E99C" w14:textId="4DFAF57F" w:rsidR="00615F3F" w:rsidRDefault="00615F3F" w:rsidP="00C21A33">
            <w:pPr>
              <w:jc w:val="both"/>
            </w:pPr>
          </w:p>
          <w:p w14:paraId="1E03BA68" w14:textId="0BAAB395" w:rsidR="00D429BC" w:rsidRPr="008A0C30" w:rsidRDefault="00D429BC" w:rsidP="00C21A33">
            <w:pPr>
              <w:jc w:val="both"/>
            </w:pPr>
            <w:r w:rsidRPr="008A0C30">
              <w:t xml:space="preserve">Materials demonstrated to be from a CFSP (or equivalent) compliant </w:t>
            </w:r>
            <w:r w:rsidR="00385AD1">
              <w:t>smelter</w:t>
            </w:r>
            <w:r w:rsidRPr="008A0C30">
              <w:t>:</w:t>
            </w:r>
          </w:p>
          <w:p w14:paraId="1012DAA9" w14:textId="77777777" w:rsidR="00D429BC" w:rsidRPr="008A0C30" w:rsidRDefault="00D429BC" w:rsidP="006256DB">
            <w:pPr>
              <w:pStyle w:val="ListParagraph"/>
              <w:numPr>
                <w:ilvl w:val="0"/>
                <w:numId w:val="56"/>
              </w:numPr>
              <w:ind w:left="454"/>
              <w:jc w:val="both"/>
            </w:pPr>
            <w:r w:rsidRPr="00191F3E">
              <w:rPr>
                <w:i/>
              </w:rPr>
              <w:t>CFSP, or equivalent, compliant smelters</w:t>
            </w:r>
            <w:r w:rsidRPr="008A0C30">
              <w:t xml:space="preserve"> requirements apply.</w:t>
            </w:r>
          </w:p>
          <w:p w14:paraId="3E5B45AF" w14:textId="77777777" w:rsidR="00D429BC" w:rsidRPr="008A0C30" w:rsidRDefault="00D429BC" w:rsidP="00C21A33">
            <w:pPr>
              <w:jc w:val="both"/>
            </w:pPr>
          </w:p>
          <w:p w14:paraId="4E8D1E91" w14:textId="66EF9826" w:rsidR="00D429BC" w:rsidRPr="008A0C30" w:rsidRDefault="00D429BC" w:rsidP="00C21A33">
            <w:pPr>
              <w:jc w:val="both"/>
            </w:pPr>
            <w:r w:rsidRPr="008A0C30">
              <w:t xml:space="preserve">Materials produced by a non-CFSP (or equivalent) compliant </w:t>
            </w:r>
            <w:r w:rsidR="00385AD1">
              <w:t>smelter</w:t>
            </w:r>
            <w:r w:rsidRPr="008A0C30">
              <w:t xml:space="preserve">: </w:t>
            </w:r>
          </w:p>
          <w:p w14:paraId="16DA9245" w14:textId="0F312B65" w:rsidR="00D429BC" w:rsidRDefault="0074607E" w:rsidP="006256DB">
            <w:pPr>
              <w:pStyle w:val="ListParagraph"/>
              <w:numPr>
                <w:ilvl w:val="0"/>
                <w:numId w:val="56"/>
              </w:numPr>
              <w:ind w:left="454"/>
              <w:jc w:val="both"/>
            </w:pPr>
            <w:r w:rsidRPr="00191F3E">
              <w:rPr>
                <w:i/>
              </w:rPr>
              <w:t>Non</w:t>
            </w:r>
            <w:r w:rsidR="00D429BC" w:rsidRPr="00191F3E">
              <w:rPr>
                <w:i/>
              </w:rPr>
              <w:t xml:space="preserve">-CFSP, or equivalent, compliant smelters </w:t>
            </w:r>
            <w:r w:rsidR="00D429BC" w:rsidRPr="008A0C30">
              <w:t>requirements apply.</w:t>
            </w:r>
          </w:p>
          <w:p w14:paraId="29FA301A" w14:textId="77777777" w:rsidR="00D429BC" w:rsidRDefault="00D429BC" w:rsidP="00C21A33">
            <w:pPr>
              <w:jc w:val="both"/>
            </w:pPr>
          </w:p>
          <w:p w14:paraId="18AAFAFB" w14:textId="6A3242D1" w:rsidR="00D429BC" w:rsidRDefault="00835318" w:rsidP="00C21A33">
            <w:pPr>
              <w:jc w:val="both"/>
            </w:pPr>
            <w:r>
              <w:t>Where the same material is shipped to another smelter for processing and the same material is returned to the audited smelter, requirements are:</w:t>
            </w:r>
          </w:p>
          <w:p w14:paraId="5B288122" w14:textId="3CB6F868" w:rsidR="00835318" w:rsidRDefault="00835318" w:rsidP="006256DB">
            <w:pPr>
              <w:pStyle w:val="ListParagraph"/>
              <w:numPr>
                <w:ilvl w:val="0"/>
                <w:numId w:val="55"/>
              </w:numPr>
              <w:ind w:left="454"/>
              <w:jc w:val="both"/>
            </w:pPr>
            <w:r>
              <w:t>Evidence must be provided by the smelter showing that no external material has been added to the material received from the audited smelter.</w:t>
            </w:r>
            <w:r w:rsidR="00191F3E">
              <w:t xml:space="preserve"> </w:t>
            </w:r>
          </w:p>
          <w:p w14:paraId="6DA4663D" w14:textId="4A6C6DA4" w:rsidR="00835318" w:rsidRPr="008A0C30" w:rsidRDefault="00835318" w:rsidP="006256DB">
            <w:pPr>
              <w:pStyle w:val="ListParagraph"/>
              <w:numPr>
                <w:ilvl w:val="0"/>
                <w:numId w:val="55"/>
              </w:numPr>
              <w:ind w:left="454"/>
              <w:jc w:val="both"/>
            </w:pPr>
            <w:r>
              <w:t xml:space="preserve">If such evidence is not available, </w:t>
            </w:r>
            <w:r w:rsidR="00191F3E">
              <w:rPr>
                <w:i/>
              </w:rPr>
              <w:t>Non</w:t>
            </w:r>
            <w:r w:rsidRPr="00653F02">
              <w:rPr>
                <w:i/>
              </w:rPr>
              <w:t xml:space="preserve">-CFSP, or equivalent, compliant smelters </w:t>
            </w:r>
            <w:r w:rsidRPr="008A0C30">
              <w:t>requirements apply</w:t>
            </w:r>
          </w:p>
          <w:p w14:paraId="5A2A22A1" w14:textId="77777777" w:rsidR="00D429BC" w:rsidRPr="008A0C30" w:rsidRDefault="00D429BC" w:rsidP="00C21A33">
            <w:pPr>
              <w:jc w:val="both"/>
            </w:pPr>
          </w:p>
          <w:p w14:paraId="428E27AD" w14:textId="28290520" w:rsidR="00615F3F" w:rsidRDefault="00615F3F" w:rsidP="00C21A33">
            <w:pPr>
              <w:jc w:val="both"/>
            </w:pPr>
            <w:r>
              <w:t>The source of inputs into the independent refining companies required verification and such companies are within the scope of this audit.</w:t>
            </w:r>
          </w:p>
          <w:p w14:paraId="2C994B6E" w14:textId="77777777" w:rsidR="00823ADD" w:rsidRPr="008A0C30" w:rsidRDefault="00823ADD" w:rsidP="00C21A33">
            <w:pPr>
              <w:jc w:val="both"/>
            </w:pPr>
          </w:p>
        </w:tc>
        <w:tc>
          <w:tcPr>
            <w:tcW w:w="3280" w:type="dxa"/>
          </w:tcPr>
          <w:p w14:paraId="30C5B1D5" w14:textId="7F90C85E" w:rsidR="0060270E" w:rsidRDefault="0060270E" w:rsidP="006256DB">
            <w:pPr>
              <w:pStyle w:val="ListParagraph"/>
              <w:numPr>
                <w:ilvl w:val="0"/>
                <w:numId w:val="30"/>
              </w:numPr>
              <w:ind w:left="418"/>
              <w:jc w:val="both"/>
            </w:pPr>
            <w:r>
              <w:lastRenderedPageBreak/>
              <w:t>Tolling Agreement</w:t>
            </w:r>
            <w:r w:rsidR="00DC2BDE">
              <w:t xml:space="preserve"> or a</w:t>
            </w:r>
            <w:r>
              <w:t>greement with tin refiner</w:t>
            </w:r>
          </w:p>
          <w:p w14:paraId="3B471322" w14:textId="77777777" w:rsidR="0060270E" w:rsidRDefault="0060270E" w:rsidP="006256DB">
            <w:pPr>
              <w:pStyle w:val="ListParagraph"/>
              <w:numPr>
                <w:ilvl w:val="0"/>
                <w:numId w:val="30"/>
              </w:numPr>
              <w:ind w:left="418"/>
              <w:jc w:val="both"/>
            </w:pPr>
            <w:r>
              <w:t xml:space="preserve">Transportation documentation for all transfers of physical material between the audited smelter, the </w:t>
            </w:r>
            <w:r w:rsidR="00EE0CFD">
              <w:t>tin refiner and tolling smelter</w:t>
            </w:r>
          </w:p>
          <w:p w14:paraId="1247BE27" w14:textId="068170DF" w:rsidR="00DC2BDE" w:rsidRDefault="00EE0CFD" w:rsidP="006256DB">
            <w:pPr>
              <w:pStyle w:val="ListParagraph"/>
              <w:numPr>
                <w:ilvl w:val="0"/>
                <w:numId w:val="30"/>
              </w:numPr>
              <w:ind w:left="418"/>
              <w:jc w:val="both"/>
            </w:pPr>
            <w:r>
              <w:t>Documentation demonstrating segregation of material sent for tolling / refining, e.g.</w:t>
            </w:r>
          </w:p>
          <w:p w14:paraId="423D5159" w14:textId="77777777" w:rsidR="00EE0CFD" w:rsidRDefault="00EE0CFD" w:rsidP="006256DB">
            <w:pPr>
              <w:pStyle w:val="ListParagraph"/>
              <w:numPr>
                <w:ilvl w:val="1"/>
                <w:numId w:val="30"/>
              </w:numPr>
              <w:ind w:left="778"/>
              <w:jc w:val="both"/>
            </w:pPr>
            <w:r>
              <w:t>Internal material control process / procedures</w:t>
            </w:r>
          </w:p>
          <w:p w14:paraId="20AC0122" w14:textId="77777777" w:rsidR="00EE0CFD" w:rsidRDefault="00EE0CFD" w:rsidP="006256DB">
            <w:pPr>
              <w:pStyle w:val="ListParagraph"/>
              <w:numPr>
                <w:ilvl w:val="1"/>
                <w:numId w:val="30"/>
              </w:numPr>
              <w:ind w:left="778"/>
              <w:jc w:val="both"/>
            </w:pPr>
            <w:r>
              <w:lastRenderedPageBreak/>
              <w:t>Production records for material sent</w:t>
            </w:r>
          </w:p>
          <w:p w14:paraId="3AFAF1EE" w14:textId="64AEC8CA" w:rsidR="00DC2BDE" w:rsidRDefault="00DC2BDE" w:rsidP="006256DB">
            <w:pPr>
              <w:pStyle w:val="ListParagraph"/>
              <w:numPr>
                <w:ilvl w:val="0"/>
                <w:numId w:val="30"/>
              </w:numPr>
              <w:ind w:left="418"/>
              <w:jc w:val="both"/>
            </w:pPr>
            <w:r>
              <w:t>Site visit report of the smelter or refiner</w:t>
            </w:r>
          </w:p>
          <w:p w14:paraId="5867A428" w14:textId="77777777" w:rsidR="00EE0CFD" w:rsidRDefault="00D82F6E" w:rsidP="006256DB">
            <w:pPr>
              <w:pStyle w:val="ListParagraph"/>
              <w:numPr>
                <w:ilvl w:val="0"/>
                <w:numId w:val="30"/>
              </w:numPr>
              <w:ind w:left="418"/>
              <w:jc w:val="both"/>
            </w:pPr>
            <w:r>
              <w:t>If the above documentation is not available:</w:t>
            </w:r>
          </w:p>
          <w:p w14:paraId="54BBE332" w14:textId="13D157E4" w:rsidR="00D82F6E" w:rsidRPr="008A0C30" w:rsidRDefault="00DC628C" w:rsidP="006256DB">
            <w:pPr>
              <w:pStyle w:val="ListParagraph"/>
              <w:numPr>
                <w:ilvl w:val="1"/>
                <w:numId w:val="30"/>
              </w:numPr>
              <w:ind w:left="778"/>
              <w:jc w:val="both"/>
            </w:pPr>
            <w:r>
              <w:t>LIS</w:t>
            </w:r>
            <w:r w:rsidR="00D82F6E" w:rsidRPr="008A0C30">
              <w:t xml:space="preserve"> (or equivalent) from the supplying smelter;</w:t>
            </w:r>
          </w:p>
          <w:p w14:paraId="0FEF8F7C" w14:textId="23A0D5C0" w:rsidR="00D82F6E" w:rsidRPr="008A0C30" w:rsidRDefault="00D82F6E" w:rsidP="006256DB">
            <w:pPr>
              <w:pStyle w:val="ListParagraph"/>
              <w:numPr>
                <w:ilvl w:val="1"/>
                <w:numId w:val="30"/>
              </w:numPr>
              <w:ind w:left="778"/>
              <w:jc w:val="both"/>
            </w:pPr>
            <w:r w:rsidRPr="008A0C30">
              <w:t xml:space="preserve">Documentation of origin for each material initially used by the </w:t>
            </w:r>
            <w:r>
              <w:t xml:space="preserve">tin refiner or tolling smelter </w:t>
            </w:r>
            <w:r w:rsidRPr="008A0C30">
              <w:t>to produce the materials received, in accordance with the tables in Annex I.</w:t>
            </w:r>
          </w:p>
        </w:tc>
      </w:tr>
      <w:tr w:rsidR="00B570DC" w14:paraId="6768199D" w14:textId="77777777" w:rsidTr="00677261">
        <w:tc>
          <w:tcPr>
            <w:tcW w:w="1526" w:type="dxa"/>
          </w:tcPr>
          <w:p w14:paraId="0B432CEA" w14:textId="08E06C33" w:rsidR="00B570DC" w:rsidRPr="00464B04" w:rsidRDefault="00DC2BDE" w:rsidP="00DC2BDE">
            <w:pPr>
              <w:jc w:val="both"/>
              <w:rPr>
                <w:b/>
              </w:rPr>
            </w:pPr>
            <w:r>
              <w:rPr>
                <w:b/>
              </w:rPr>
              <w:lastRenderedPageBreak/>
              <w:t xml:space="preserve">Metal </w:t>
            </w:r>
            <w:r w:rsidR="00B570DC" w:rsidRPr="00464B04">
              <w:rPr>
                <w:b/>
              </w:rPr>
              <w:t>obtained from warehouses / exchanges</w:t>
            </w:r>
          </w:p>
        </w:tc>
        <w:tc>
          <w:tcPr>
            <w:tcW w:w="4536" w:type="dxa"/>
          </w:tcPr>
          <w:p w14:paraId="6B4EC4B3" w14:textId="37F0029D" w:rsidR="00610E15" w:rsidRPr="008A0C30" w:rsidRDefault="00610E15" w:rsidP="00C21A33">
            <w:pPr>
              <w:jc w:val="both"/>
            </w:pPr>
            <w:r w:rsidRPr="008A0C30">
              <w:t xml:space="preserve">Materials </w:t>
            </w:r>
            <w:r w:rsidR="00031928" w:rsidRPr="008A0C30">
              <w:t>demonstrated to be from a CFSP (or equivalent) compliant smelter and produced within that smelter’s compliance period:</w:t>
            </w:r>
          </w:p>
          <w:p w14:paraId="3F3FF26B" w14:textId="77777777" w:rsidR="00A728F0" w:rsidRPr="008A0C30" w:rsidRDefault="00031928" w:rsidP="006256DB">
            <w:pPr>
              <w:pStyle w:val="ListParagraph"/>
              <w:numPr>
                <w:ilvl w:val="0"/>
                <w:numId w:val="57"/>
              </w:numPr>
              <w:ind w:left="454"/>
              <w:jc w:val="both"/>
            </w:pPr>
            <w:r w:rsidRPr="00DC2BDE">
              <w:rPr>
                <w:i/>
              </w:rPr>
              <w:t>CFSP, or equivalent, compliant smelters</w:t>
            </w:r>
            <w:r w:rsidRPr="008A0C30">
              <w:t xml:space="preserve"> requirements apply.</w:t>
            </w:r>
          </w:p>
          <w:p w14:paraId="0E7D5BE3" w14:textId="77777777" w:rsidR="00031928" w:rsidRPr="008A0C30" w:rsidRDefault="00031928" w:rsidP="00C21A33">
            <w:pPr>
              <w:jc w:val="both"/>
            </w:pPr>
          </w:p>
          <w:p w14:paraId="7592363B" w14:textId="6EAD9C4C" w:rsidR="00031928" w:rsidRPr="008A0C30" w:rsidRDefault="00031928" w:rsidP="00C21A33">
            <w:pPr>
              <w:jc w:val="both"/>
            </w:pPr>
            <w:r w:rsidRPr="008A0C30">
              <w:t xml:space="preserve">Materials produced by a non-CFSP (or equivalent) compliant smelter or produced outside of the compliance period: </w:t>
            </w:r>
          </w:p>
          <w:p w14:paraId="0F03E8CB" w14:textId="2D520F0D" w:rsidR="00031928" w:rsidRPr="008A0C30" w:rsidRDefault="00DC2BDE" w:rsidP="006256DB">
            <w:pPr>
              <w:pStyle w:val="ListParagraph"/>
              <w:numPr>
                <w:ilvl w:val="0"/>
                <w:numId w:val="57"/>
              </w:numPr>
              <w:ind w:left="454"/>
              <w:jc w:val="both"/>
            </w:pPr>
            <w:r>
              <w:rPr>
                <w:i/>
              </w:rPr>
              <w:t>Non</w:t>
            </w:r>
            <w:r w:rsidR="00031928" w:rsidRPr="00DC2BDE">
              <w:rPr>
                <w:i/>
              </w:rPr>
              <w:t xml:space="preserve">-CFSP, or equivalent, compliant smelters </w:t>
            </w:r>
            <w:r w:rsidR="00031928" w:rsidRPr="008A0C30">
              <w:t>requirements apply.</w:t>
            </w:r>
          </w:p>
          <w:p w14:paraId="69AD838E" w14:textId="77777777" w:rsidR="00031928" w:rsidRPr="008A0C30" w:rsidRDefault="00031928" w:rsidP="00C21A33">
            <w:pPr>
              <w:jc w:val="both"/>
            </w:pPr>
          </w:p>
          <w:p w14:paraId="02B6736D" w14:textId="5EEC5088" w:rsidR="00A728F0" w:rsidRPr="008A0C30" w:rsidRDefault="002B43A0" w:rsidP="00C21A33">
            <w:pPr>
              <w:jc w:val="both"/>
            </w:pPr>
            <w:r>
              <w:t>T</w:t>
            </w:r>
            <w:r w:rsidR="00A728F0" w:rsidRPr="008A0C30">
              <w:t xml:space="preserve">he smelter remains responsible for obtaining the required documents directly from the </w:t>
            </w:r>
            <w:r>
              <w:t xml:space="preserve">warehouse operator or the </w:t>
            </w:r>
            <w:r w:rsidR="00A728F0" w:rsidRPr="008A0C30">
              <w:t>supplying smelter.</w:t>
            </w:r>
          </w:p>
          <w:p w14:paraId="2B1ECBE0" w14:textId="77777777" w:rsidR="00B570DC" w:rsidRPr="008A0C30" w:rsidRDefault="00B570DC" w:rsidP="00C21A33">
            <w:pPr>
              <w:jc w:val="both"/>
            </w:pPr>
          </w:p>
        </w:tc>
        <w:tc>
          <w:tcPr>
            <w:tcW w:w="3280" w:type="dxa"/>
          </w:tcPr>
          <w:p w14:paraId="4EA60647" w14:textId="77777777" w:rsidR="00B570DC" w:rsidRPr="008A0C30" w:rsidRDefault="00A728F0" w:rsidP="006256DB">
            <w:pPr>
              <w:pStyle w:val="ListParagraph"/>
              <w:numPr>
                <w:ilvl w:val="0"/>
                <w:numId w:val="30"/>
              </w:numPr>
              <w:ind w:left="418"/>
              <w:jc w:val="both"/>
            </w:pPr>
            <w:r w:rsidRPr="008A0C30">
              <w:t>Warehouse notice / release warrant</w:t>
            </w:r>
          </w:p>
          <w:p w14:paraId="5EDAC8A0" w14:textId="5E2447E7" w:rsidR="00A728F0" w:rsidRPr="008A0C30" w:rsidRDefault="00A728F0" w:rsidP="006256DB">
            <w:pPr>
              <w:pStyle w:val="ListParagraph"/>
              <w:numPr>
                <w:ilvl w:val="0"/>
                <w:numId w:val="30"/>
              </w:numPr>
              <w:ind w:left="418"/>
              <w:jc w:val="both"/>
            </w:pPr>
            <w:r w:rsidRPr="008A0C30">
              <w:t>Certificate of Analysis (CoA)</w:t>
            </w:r>
            <w:r w:rsidR="00610E15" w:rsidRPr="008A0C30">
              <w:t>, including original production date</w:t>
            </w:r>
          </w:p>
          <w:p w14:paraId="6A2F2C0C" w14:textId="0C12B647" w:rsidR="00610E15" w:rsidRPr="008A0C30" w:rsidRDefault="00610E15" w:rsidP="006256DB">
            <w:pPr>
              <w:pStyle w:val="ListParagraph"/>
              <w:numPr>
                <w:ilvl w:val="0"/>
                <w:numId w:val="30"/>
              </w:numPr>
              <w:ind w:left="418"/>
              <w:jc w:val="both"/>
            </w:pPr>
            <w:r w:rsidRPr="008A0C30">
              <w:t>Transport documentation from the warehouse / exchange</w:t>
            </w:r>
          </w:p>
          <w:p w14:paraId="30E758F0" w14:textId="77777777" w:rsidR="00A728F0" w:rsidRPr="008A0C30" w:rsidRDefault="00610E15" w:rsidP="006256DB">
            <w:pPr>
              <w:pStyle w:val="ListParagraph"/>
              <w:numPr>
                <w:ilvl w:val="0"/>
                <w:numId w:val="30"/>
              </w:numPr>
              <w:ind w:left="418"/>
              <w:jc w:val="both"/>
            </w:pPr>
            <w:r w:rsidRPr="008A0C30">
              <w:t xml:space="preserve">Identity of supplying smelter </w:t>
            </w:r>
          </w:p>
          <w:p w14:paraId="5780130F" w14:textId="345B4731" w:rsidR="00031928" w:rsidRPr="008A0C30" w:rsidRDefault="00031928" w:rsidP="006256DB">
            <w:pPr>
              <w:pStyle w:val="ListParagraph"/>
              <w:numPr>
                <w:ilvl w:val="0"/>
                <w:numId w:val="30"/>
              </w:numPr>
              <w:ind w:left="418"/>
              <w:jc w:val="both"/>
            </w:pPr>
            <w:r w:rsidRPr="008A0C30">
              <w:t>Documentation in accordance with the requir</w:t>
            </w:r>
            <w:r w:rsidR="00DC2BDE">
              <w:t>ements for CFSP compliant or Non</w:t>
            </w:r>
            <w:r w:rsidRPr="008A0C30">
              <w:t>-CFSP compliant supplying smelters.</w:t>
            </w:r>
          </w:p>
        </w:tc>
      </w:tr>
    </w:tbl>
    <w:p w14:paraId="4F918BF1" w14:textId="77777777" w:rsidR="00CB45C8" w:rsidRPr="00677261" w:rsidRDefault="00CB45C8" w:rsidP="00C21A33">
      <w:pPr>
        <w:spacing w:after="0" w:line="240" w:lineRule="auto"/>
        <w:jc w:val="both"/>
        <w:rPr>
          <w:u w:val="single"/>
        </w:rPr>
      </w:pPr>
    </w:p>
    <w:p w14:paraId="365199E8" w14:textId="77777777" w:rsidR="005263BB" w:rsidRDefault="005263BB" w:rsidP="00C21A33">
      <w:pPr>
        <w:pStyle w:val="Heading2"/>
        <w:numPr>
          <w:ilvl w:val="0"/>
          <w:numId w:val="0"/>
        </w:numPr>
        <w:spacing w:before="0"/>
        <w:jc w:val="both"/>
      </w:pPr>
    </w:p>
    <w:p w14:paraId="2942DCB1" w14:textId="12444696" w:rsidR="008228D0" w:rsidRDefault="009C52A9" w:rsidP="00C21A33">
      <w:pPr>
        <w:pStyle w:val="Heading2"/>
        <w:numPr>
          <w:ilvl w:val="0"/>
          <w:numId w:val="0"/>
        </w:numPr>
        <w:spacing w:before="0"/>
        <w:jc w:val="both"/>
      </w:pPr>
      <w:bookmarkStart w:id="43" w:name="_Toc450308537"/>
      <w:r>
        <w:t>Annex III: Sampling Guidance</w:t>
      </w:r>
      <w:bookmarkEnd w:id="43"/>
    </w:p>
    <w:p w14:paraId="316F34AB" w14:textId="77777777" w:rsidR="009C52A9" w:rsidRPr="009C52A9" w:rsidRDefault="009C52A9" w:rsidP="00C21A33">
      <w:pPr>
        <w:spacing w:after="0" w:line="240" w:lineRule="auto"/>
        <w:jc w:val="both"/>
      </w:pPr>
    </w:p>
    <w:p w14:paraId="43D0C32D" w14:textId="4DAB5D1A" w:rsidR="009F26EE" w:rsidRDefault="005263BB" w:rsidP="00C21A33">
      <w:pPr>
        <w:jc w:val="both"/>
      </w:pPr>
      <w:r>
        <w:t>T</w:t>
      </w:r>
      <w:r w:rsidR="009F26EE">
        <w:t>he auditor will carry out sampling in accordance with this sampling guidance</w:t>
      </w:r>
      <w:r w:rsidR="009F26EE">
        <w:rPr>
          <w:rStyle w:val="FootnoteReference"/>
        </w:rPr>
        <w:footnoteReference w:id="16"/>
      </w:r>
      <w:r w:rsidR="009F26EE">
        <w:t>.</w:t>
      </w:r>
    </w:p>
    <w:p w14:paraId="36CA68CA" w14:textId="5D1BC25E" w:rsidR="009F26EE" w:rsidRDefault="009F26EE" w:rsidP="00C21A33">
      <w:pPr>
        <w:jc w:val="both"/>
      </w:pPr>
      <w:r>
        <w:t xml:space="preserve">Sampling may be employed exclusively for low risk transactions, categorized as “Level 1” or “low risk” sources. For transactions from medium or high risk origin, “Level 2”, “Level 3”, </w:t>
      </w:r>
      <w:r w:rsidR="00AA57F3">
        <w:t xml:space="preserve">“Other CAHRA”, </w:t>
      </w:r>
      <w:r>
        <w:t xml:space="preserve">100% of transactions received within the audit period </w:t>
      </w:r>
      <w:r w:rsidR="00AA57F3">
        <w:t>will be</w:t>
      </w:r>
      <w:r>
        <w:t xml:space="preserve"> reviewed.</w:t>
      </w:r>
    </w:p>
    <w:p w14:paraId="6B9D2C6C" w14:textId="77777777" w:rsidR="009F26EE" w:rsidRDefault="009F26EE" w:rsidP="00C21A33">
      <w:pPr>
        <w:jc w:val="both"/>
      </w:pPr>
      <w:r>
        <w:t xml:space="preserve">The review of transactions selected primarily serves to test systems and processes of the smelter. Nevertheless, CFSI applies a representative sampling approach to gather sufficient evidence to reasonably allow for inference about the conformity of the whole population. </w:t>
      </w:r>
    </w:p>
    <w:p w14:paraId="20DB0FCF" w14:textId="77777777" w:rsidR="009F26EE" w:rsidRDefault="009F26EE" w:rsidP="00C21A33">
      <w:pPr>
        <w:jc w:val="both"/>
      </w:pPr>
      <w:r>
        <w:t>The sampling process includes two (2) steps:</w:t>
      </w:r>
    </w:p>
    <w:p w14:paraId="0EFA33D8" w14:textId="77777777" w:rsidR="009F26EE" w:rsidRDefault="009F26EE" w:rsidP="00C21A33">
      <w:pPr>
        <w:pStyle w:val="ListParagraph"/>
        <w:jc w:val="both"/>
      </w:pPr>
      <w:r>
        <w:rPr>
          <w:b/>
        </w:rPr>
        <w:t xml:space="preserve">Step 1: </w:t>
      </w:r>
      <w:r>
        <w:t>Scoring of risk associated with transactions based on a number of weighted criteria.</w:t>
      </w:r>
    </w:p>
    <w:p w14:paraId="2FA3AF6D" w14:textId="77777777" w:rsidR="009F26EE" w:rsidRDefault="009F26EE" w:rsidP="00C21A33">
      <w:pPr>
        <w:pStyle w:val="ListParagraph"/>
        <w:jc w:val="both"/>
      </w:pPr>
      <w:r>
        <w:rPr>
          <w:b/>
        </w:rPr>
        <w:t>Step 2:</w:t>
      </w:r>
      <w:r>
        <w:t xml:space="preserve"> The risk score obtained in Step 1 determines the sample size to be selected by the auditor.</w:t>
      </w:r>
    </w:p>
    <w:p w14:paraId="58C04528" w14:textId="52CB887A" w:rsidR="009F26EE" w:rsidRDefault="009F26EE" w:rsidP="00C21A33">
      <w:pPr>
        <w:jc w:val="both"/>
      </w:pPr>
      <w:r>
        <w:t>The auditor will randomly select samples from the total population in accordance with the sampling plan applicable to the risk score.</w:t>
      </w:r>
    </w:p>
    <w:p w14:paraId="6329ECF7" w14:textId="51964958" w:rsidR="009F26EE" w:rsidRDefault="005263BB" w:rsidP="00C21A33">
      <w:pPr>
        <w:jc w:val="both"/>
        <w:rPr>
          <w:b/>
        </w:rPr>
      </w:pPr>
      <w:r>
        <w:rPr>
          <w:b/>
        </w:rPr>
        <w:t>Step 1: Scoring of Risk</w:t>
      </w:r>
    </w:p>
    <w:p w14:paraId="491CC637" w14:textId="79008B3C" w:rsidR="009F26EE" w:rsidRDefault="009F26EE" w:rsidP="00C21A33">
      <w:pPr>
        <w:jc w:val="both"/>
      </w:pPr>
      <w:r>
        <w:t xml:space="preserve">The auditor will review the completed </w:t>
      </w:r>
      <w:r w:rsidR="00DC628C">
        <w:t xml:space="preserve">LIS </w:t>
      </w:r>
      <w:r>
        <w:t>(or equivalent file) to assign risk a score to each of the five (5) criteria below:</w:t>
      </w:r>
    </w:p>
    <w:tbl>
      <w:tblPr>
        <w:tblStyle w:val="TableGrid"/>
        <w:tblW w:w="0" w:type="auto"/>
        <w:tblLook w:val="04A0" w:firstRow="1" w:lastRow="0" w:firstColumn="1" w:lastColumn="0" w:noHBand="0" w:noVBand="1"/>
      </w:tblPr>
      <w:tblGrid>
        <w:gridCol w:w="959"/>
        <w:gridCol w:w="5386"/>
        <w:gridCol w:w="1085"/>
        <w:gridCol w:w="1086"/>
      </w:tblGrid>
      <w:tr w:rsidR="009F26EE" w14:paraId="4E53818F"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96FF7" w14:textId="77777777" w:rsidR="009F26EE" w:rsidRDefault="009F26EE" w:rsidP="0012267E">
            <w:pPr>
              <w:jc w:val="center"/>
              <w:rPr>
                <w:rFonts w:ascii="Calibri" w:hAnsi="Calibri"/>
                <w:b/>
              </w:rPr>
            </w:pPr>
            <w:r>
              <w:rPr>
                <w:b/>
              </w:rPr>
              <w:t>Criteria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9518A" w14:textId="77777777" w:rsidR="009F26EE" w:rsidRDefault="009F26EE" w:rsidP="0012267E">
            <w:pPr>
              <w:jc w:val="center"/>
              <w:rPr>
                <w:rFonts w:ascii="Calibri" w:hAnsi="Calibri"/>
                <w:b/>
              </w:rPr>
            </w:pPr>
            <w:r>
              <w:rPr>
                <w:b/>
              </w:rPr>
              <w:t>Description of Criteria</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9E9E1" w14:textId="77777777" w:rsidR="009F26EE" w:rsidRDefault="009F26EE" w:rsidP="0012267E">
            <w:pPr>
              <w:jc w:val="center"/>
              <w:rPr>
                <w:rFonts w:ascii="Calibri" w:hAnsi="Calibri"/>
                <w:b/>
              </w:rPr>
            </w:pPr>
            <w:r>
              <w:rPr>
                <w:b/>
              </w:rPr>
              <w:t>Points</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E5945" w14:textId="77777777" w:rsidR="009F26EE" w:rsidRDefault="009F26EE" w:rsidP="0012267E">
            <w:pPr>
              <w:jc w:val="center"/>
              <w:rPr>
                <w:rFonts w:ascii="Calibri" w:hAnsi="Calibri"/>
                <w:b/>
              </w:rPr>
            </w:pPr>
            <w:r>
              <w:rPr>
                <w:b/>
              </w:rPr>
              <w:t>Score</w:t>
            </w:r>
          </w:p>
        </w:tc>
      </w:tr>
      <w:tr w:rsidR="009F26EE" w14:paraId="29D36DFA"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14:paraId="749E2E73" w14:textId="77777777" w:rsidR="009F26EE" w:rsidRDefault="009F26EE" w:rsidP="00C21A33">
            <w:pPr>
              <w:jc w:val="both"/>
              <w:rPr>
                <w:rFonts w:ascii="Calibri" w:hAnsi="Calibri"/>
              </w:rPr>
            </w:pPr>
            <w: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14:paraId="7368FA5E" w14:textId="77777777" w:rsidR="009F26EE" w:rsidRDefault="009F26EE" w:rsidP="00C21A33">
            <w:pPr>
              <w:jc w:val="both"/>
              <w:rPr>
                <w:rFonts w:ascii="Calibri" w:hAnsi="Calibri"/>
              </w:rPr>
            </w:pPr>
            <w:r>
              <w:t>The total number of transactions received during the audit period is: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1D59ED73" w14:textId="77777777" w:rsidR="009F26EE" w:rsidRDefault="009F26EE" w:rsidP="00C21A33">
            <w:pPr>
              <w:jc w:val="both"/>
              <w:rPr>
                <w:rFonts w:ascii="Calibri" w:hAnsi="Calibri"/>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1DF70DA6" w14:textId="77777777" w:rsidR="009F26EE" w:rsidRDefault="009F26EE" w:rsidP="00C21A33">
            <w:pPr>
              <w:jc w:val="both"/>
              <w:rPr>
                <w:rFonts w:ascii="Calibri" w:hAnsi="Calibri"/>
              </w:rPr>
            </w:pPr>
          </w:p>
        </w:tc>
      </w:tr>
      <w:tr w:rsidR="009F26EE" w14:paraId="0342B1B8"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ECD0A"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CBB78" w14:textId="77777777" w:rsidR="009F26EE" w:rsidRDefault="009F26EE" w:rsidP="00C21A33">
            <w:pPr>
              <w:jc w:val="both"/>
              <w:rPr>
                <w:rFonts w:ascii="Calibri" w:hAnsi="Calibri"/>
              </w:rPr>
            </w:pPr>
            <w:r>
              <w:t>More than 1’000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0C556" w14:textId="77777777" w:rsidR="009F26EE" w:rsidRDefault="009F26EE" w:rsidP="00C21A33">
            <w:pPr>
              <w:jc w:val="both"/>
              <w:rPr>
                <w:rFonts w:ascii="Calibri" w:hAnsi="Calibri"/>
              </w:rPr>
            </w:pPr>
            <w: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F2671" w14:textId="77777777" w:rsidR="009F26EE" w:rsidRDefault="009F26EE" w:rsidP="00C21A33">
            <w:pPr>
              <w:jc w:val="both"/>
              <w:rPr>
                <w:rFonts w:ascii="Calibri" w:hAnsi="Calibri"/>
              </w:rPr>
            </w:pPr>
          </w:p>
        </w:tc>
      </w:tr>
      <w:tr w:rsidR="009F26EE" w14:paraId="3FDC7A64"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88C47"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A4E9F" w14:textId="77777777" w:rsidR="009F26EE" w:rsidRDefault="009F26EE" w:rsidP="00C21A33">
            <w:pPr>
              <w:jc w:val="both"/>
              <w:rPr>
                <w:rFonts w:ascii="Calibri" w:hAnsi="Calibri"/>
              </w:rPr>
            </w:pPr>
            <w:r>
              <w:t>More than 100 but less than 1’000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46F78B" w14:textId="77777777" w:rsidR="009F26EE" w:rsidRDefault="009F26EE" w:rsidP="00C21A33">
            <w:pPr>
              <w:jc w:val="both"/>
              <w:rPr>
                <w:rFonts w:ascii="Calibri" w:hAnsi="Calibri"/>
              </w:rPr>
            </w:pPr>
            <w:r>
              <w:t>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33171" w14:textId="77777777" w:rsidR="009F26EE" w:rsidRDefault="009F26EE" w:rsidP="00C21A33">
            <w:pPr>
              <w:jc w:val="both"/>
              <w:rPr>
                <w:rFonts w:ascii="Calibri" w:hAnsi="Calibri"/>
              </w:rPr>
            </w:pPr>
          </w:p>
        </w:tc>
      </w:tr>
      <w:tr w:rsidR="009F26EE" w14:paraId="75043E6B"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2CF7"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9C305" w14:textId="77777777" w:rsidR="009F26EE" w:rsidRDefault="009F26EE" w:rsidP="00C21A33">
            <w:pPr>
              <w:jc w:val="both"/>
              <w:rPr>
                <w:rFonts w:ascii="Calibri" w:hAnsi="Calibri"/>
              </w:rPr>
            </w:pPr>
            <w:r>
              <w:t>Less than 100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B4EA3" w14:textId="77777777" w:rsidR="009F26EE" w:rsidRDefault="009F26EE" w:rsidP="00C21A33">
            <w:pPr>
              <w:jc w:val="both"/>
              <w:rPr>
                <w:rFonts w:ascii="Calibri" w:hAnsi="Calibri"/>
              </w:rPr>
            </w:pPr>
            <w: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4A96C" w14:textId="77777777" w:rsidR="009F26EE" w:rsidRDefault="009F26EE" w:rsidP="00C21A33">
            <w:pPr>
              <w:jc w:val="both"/>
              <w:rPr>
                <w:rFonts w:ascii="Calibri" w:hAnsi="Calibri"/>
              </w:rPr>
            </w:pPr>
          </w:p>
        </w:tc>
      </w:tr>
      <w:tr w:rsidR="009F26EE" w14:paraId="3927981A"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14:paraId="3EDB72D3" w14:textId="77777777" w:rsidR="009F26EE" w:rsidRDefault="009F26EE" w:rsidP="00C21A33">
            <w:pPr>
              <w:jc w:val="both"/>
              <w:rPr>
                <w:rFonts w:ascii="Calibri" w:hAnsi="Calibri"/>
              </w:rPr>
            </w:pPr>
            <w: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14:paraId="03D0EE56" w14:textId="77777777" w:rsidR="009F26EE" w:rsidRDefault="009F26EE" w:rsidP="00C21A33">
            <w:pPr>
              <w:jc w:val="both"/>
              <w:rPr>
                <w:rFonts w:ascii="Calibri" w:hAnsi="Calibri"/>
              </w:rPr>
            </w:pPr>
            <w:r>
              <w:t>The percentage of secondary material transactions as part of the total number of transactions is: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0153F904" w14:textId="77777777" w:rsidR="009F26EE" w:rsidRDefault="009F26EE" w:rsidP="00C21A33">
            <w:pPr>
              <w:jc w:val="both"/>
              <w:rPr>
                <w:rFonts w:ascii="Calibri" w:hAnsi="Calibri"/>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0D84C288" w14:textId="77777777" w:rsidR="009F26EE" w:rsidRDefault="009F26EE" w:rsidP="00C21A33">
            <w:pPr>
              <w:jc w:val="both"/>
              <w:rPr>
                <w:rFonts w:ascii="Calibri" w:hAnsi="Calibri"/>
              </w:rPr>
            </w:pPr>
          </w:p>
        </w:tc>
      </w:tr>
      <w:tr w:rsidR="009F26EE" w14:paraId="57C184E9"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2E15E"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CB30E" w14:textId="77777777" w:rsidR="009F26EE" w:rsidRDefault="009F26EE" w:rsidP="00C21A33">
            <w:pPr>
              <w:jc w:val="both"/>
              <w:rPr>
                <w:rFonts w:ascii="Calibri" w:hAnsi="Calibri"/>
              </w:rPr>
            </w:pPr>
            <w:r>
              <w:t>Less than 50 per cent</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BE0D1B" w14:textId="77777777" w:rsidR="009F26EE" w:rsidRDefault="009F26EE" w:rsidP="00C21A33">
            <w:pPr>
              <w:jc w:val="both"/>
              <w:rPr>
                <w:rFonts w:ascii="Calibri" w:hAnsi="Calibri"/>
              </w:rPr>
            </w:pPr>
            <w:r>
              <w:t>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9A9BC" w14:textId="77777777" w:rsidR="009F26EE" w:rsidRDefault="009F26EE" w:rsidP="00C21A33">
            <w:pPr>
              <w:jc w:val="both"/>
              <w:rPr>
                <w:rFonts w:ascii="Calibri" w:hAnsi="Calibri"/>
              </w:rPr>
            </w:pPr>
          </w:p>
        </w:tc>
      </w:tr>
      <w:tr w:rsidR="009F26EE" w14:paraId="244DC039"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4C2E6"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5CCBE" w14:textId="77777777" w:rsidR="009F26EE" w:rsidRDefault="009F26EE" w:rsidP="00C21A33">
            <w:pPr>
              <w:jc w:val="both"/>
              <w:rPr>
                <w:rFonts w:ascii="Calibri" w:hAnsi="Calibri"/>
              </w:rPr>
            </w:pPr>
            <w:r>
              <w:t>More than 50 per cent but less than 100 per cent</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0C710A" w14:textId="77777777" w:rsidR="009F26EE" w:rsidRDefault="009F26EE" w:rsidP="00C21A33">
            <w:pPr>
              <w:jc w:val="both"/>
              <w:rPr>
                <w:rFonts w:ascii="Calibri" w:hAnsi="Calibri"/>
              </w:rPr>
            </w:pPr>
            <w: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94235" w14:textId="77777777" w:rsidR="009F26EE" w:rsidRDefault="009F26EE" w:rsidP="00C21A33">
            <w:pPr>
              <w:jc w:val="both"/>
              <w:rPr>
                <w:rFonts w:ascii="Calibri" w:hAnsi="Calibri"/>
              </w:rPr>
            </w:pPr>
          </w:p>
        </w:tc>
      </w:tr>
      <w:tr w:rsidR="009F26EE" w14:paraId="42720F4E"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423CC"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E21D3" w14:textId="77777777" w:rsidR="009F26EE" w:rsidRDefault="009F26EE" w:rsidP="00C21A33">
            <w:pPr>
              <w:jc w:val="both"/>
              <w:rPr>
                <w:rFonts w:ascii="Calibri" w:hAnsi="Calibri"/>
              </w:rPr>
            </w:pPr>
            <w:r>
              <w:t>100 per cent</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1477E5" w14:textId="77777777" w:rsidR="009F26EE" w:rsidRDefault="009F26EE" w:rsidP="00C21A33">
            <w:pPr>
              <w:jc w:val="both"/>
              <w:rPr>
                <w:rFonts w:ascii="Calibri" w:hAnsi="Calibri"/>
              </w:rPr>
            </w:pPr>
            <w: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8304E" w14:textId="77777777" w:rsidR="009F26EE" w:rsidRDefault="009F26EE" w:rsidP="00C21A33">
            <w:pPr>
              <w:jc w:val="both"/>
              <w:rPr>
                <w:rFonts w:ascii="Calibri" w:hAnsi="Calibri"/>
              </w:rPr>
            </w:pPr>
          </w:p>
        </w:tc>
      </w:tr>
      <w:tr w:rsidR="009F26EE" w14:paraId="4CD55048"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14:paraId="2CC1FD8D" w14:textId="77777777" w:rsidR="009F26EE" w:rsidRDefault="009F26EE" w:rsidP="00C21A33">
            <w:pPr>
              <w:jc w:val="both"/>
              <w:rPr>
                <w:rFonts w:ascii="Calibri" w:hAnsi="Calibri"/>
              </w:rPr>
            </w:pPr>
            <w: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14:paraId="2928D860" w14:textId="77777777" w:rsidR="009F26EE" w:rsidRDefault="009F26EE" w:rsidP="00C21A33">
            <w:pPr>
              <w:jc w:val="both"/>
              <w:rPr>
                <w:rFonts w:ascii="Calibri" w:hAnsi="Calibri"/>
              </w:rPr>
            </w:pPr>
            <w:r>
              <w:t>The total number of active suppliers within the audit period is: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1F019FA9" w14:textId="77777777" w:rsidR="009F26EE" w:rsidRDefault="009F26EE" w:rsidP="00C21A33">
            <w:pPr>
              <w:jc w:val="both"/>
              <w:rPr>
                <w:rFonts w:ascii="Calibri" w:hAnsi="Calibri"/>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1C56E67F" w14:textId="77777777" w:rsidR="009F26EE" w:rsidRDefault="009F26EE" w:rsidP="00C21A33">
            <w:pPr>
              <w:jc w:val="both"/>
              <w:rPr>
                <w:rFonts w:ascii="Calibri" w:hAnsi="Calibri"/>
              </w:rPr>
            </w:pPr>
          </w:p>
        </w:tc>
      </w:tr>
      <w:tr w:rsidR="009F26EE" w14:paraId="322689E6"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5B233"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21269" w14:textId="77777777" w:rsidR="009F26EE" w:rsidRDefault="009F26EE" w:rsidP="00C21A33">
            <w:pPr>
              <w:jc w:val="both"/>
              <w:rPr>
                <w:rFonts w:ascii="Calibri" w:hAnsi="Calibri"/>
              </w:rPr>
            </w:pPr>
            <w:r>
              <w:t>More than 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935B7" w14:textId="77777777" w:rsidR="009F26EE" w:rsidRDefault="009F26EE" w:rsidP="00C21A33">
            <w:pPr>
              <w:jc w:val="both"/>
              <w:rPr>
                <w:rFonts w:ascii="Calibri" w:hAnsi="Calibri"/>
              </w:rPr>
            </w:pPr>
            <w: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72CA" w14:textId="77777777" w:rsidR="009F26EE" w:rsidRDefault="009F26EE" w:rsidP="00C21A33">
            <w:pPr>
              <w:jc w:val="both"/>
              <w:rPr>
                <w:rFonts w:ascii="Calibri" w:hAnsi="Calibri"/>
              </w:rPr>
            </w:pPr>
          </w:p>
        </w:tc>
      </w:tr>
      <w:tr w:rsidR="009F26EE" w14:paraId="612534EE"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50038"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618A6" w14:textId="77777777" w:rsidR="009F26EE" w:rsidRDefault="009F26EE" w:rsidP="00C21A33">
            <w:pPr>
              <w:jc w:val="both"/>
              <w:rPr>
                <w:rFonts w:ascii="Calibri" w:hAnsi="Calibri"/>
              </w:rPr>
            </w:pPr>
            <w:r>
              <w:t>Less than 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CC438A" w14:textId="77777777" w:rsidR="009F26EE" w:rsidRDefault="009F26EE" w:rsidP="00C21A33">
            <w:pPr>
              <w:jc w:val="both"/>
              <w:rPr>
                <w:rFonts w:ascii="Calibri" w:hAnsi="Calibri"/>
              </w:rPr>
            </w:pPr>
            <w: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7D78D" w14:textId="77777777" w:rsidR="009F26EE" w:rsidRDefault="009F26EE" w:rsidP="00C21A33">
            <w:pPr>
              <w:jc w:val="both"/>
              <w:rPr>
                <w:rFonts w:ascii="Calibri" w:hAnsi="Calibri"/>
              </w:rPr>
            </w:pPr>
          </w:p>
        </w:tc>
      </w:tr>
      <w:tr w:rsidR="009F26EE" w14:paraId="0A9F392A"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14:paraId="6B6C8033" w14:textId="77777777" w:rsidR="009F26EE" w:rsidRDefault="009F26EE" w:rsidP="00C21A33">
            <w:pPr>
              <w:jc w:val="both"/>
              <w:rPr>
                <w:rFonts w:ascii="Calibri" w:hAnsi="Calibri"/>
              </w:rPr>
            </w:pPr>
            <w: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14:paraId="3C7F1A64" w14:textId="01FCA355" w:rsidR="009F26EE" w:rsidRDefault="009F26EE" w:rsidP="007817B3">
            <w:pPr>
              <w:jc w:val="both"/>
              <w:rPr>
                <w:rFonts w:ascii="Calibri" w:hAnsi="Calibri"/>
              </w:rPr>
            </w:pPr>
            <w:r>
              <w:t xml:space="preserve">The percentage of traders / trading companies as part of the total number of active suppliers for mined </w:t>
            </w:r>
            <w:r w:rsidR="007817B3">
              <w:t>material</w:t>
            </w:r>
            <w:bookmarkStart w:id="44" w:name="_GoBack"/>
            <w:bookmarkEnd w:id="44"/>
            <w:r>
              <w:t xml:space="preserve"> is: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73243D86" w14:textId="77777777" w:rsidR="009F26EE" w:rsidRDefault="009F26EE" w:rsidP="00C21A33">
            <w:pPr>
              <w:jc w:val="both"/>
              <w:rPr>
                <w:rFonts w:ascii="Calibri" w:hAnsi="Calibri"/>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50593DA8" w14:textId="77777777" w:rsidR="009F26EE" w:rsidRDefault="009F26EE" w:rsidP="00C21A33">
            <w:pPr>
              <w:jc w:val="both"/>
              <w:rPr>
                <w:rFonts w:ascii="Calibri" w:hAnsi="Calibri"/>
              </w:rPr>
            </w:pPr>
          </w:p>
        </w:tc>
      </w:tr>
      <w:tr w:rsidR="009F26EE" w14:paraId="53FD72DA"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0BFA6"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51068" w14:textId="77777777" w:rsidR="009F26EE" w:rsidRDefault="009F26EE" w:rsidP="00C21A33">
            <w:pPr>
              <w:jc w:val="both"/>
              <w:rPr>
                <w:rFonts w:ascii="Calibri" w:hAnsi="Calibri"/>
              </w:rPr>
            </w:pPr>
            <w:r>
              <w:t>More than 10 per cent</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733C19" w14:textId="77777777" w:rsidR="009F26EE" w:rsidRDefault="009F26EE" w:rsidP="00C21A33">
            <w:pPr>
              <w:jc w:val="both"/>
              <w:rPr>
                <w:rFonts w:ascii="Calibri" w:hAnsi="Calibri"/>
              </w:rPr>
            </w:pPr>
            <w: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56E83" w14:textId="77777777" w:rsidR="009F26EE" w:rsidRDefault="009F26EE" w:rsidP="00C21A33">
            <w:pPr>
              <w:jc w:val="both"/>
              <w:rPr>
                <w:rFonts w:ascii="Calibri" w:hAnsi="Calibri"/>
              </w:rPr>
            </w:pPr>
          </w:p>
        </w:tc>
      </w:tr>
      <w:tr w:rsidR="009F26EE" w14:paraId="24A5B711"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BF82D"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CAE2A" w14:textId="77777777" w:rsidR="009F26EE" w:rsidRDefault="009F26EE" w:rsidP="00C21A33">
            <w:pPr>
              <w:jc w:val="both"/>
              <w:rPr>
                <w:rFonts w:ascii="Calibri" w:hAnsi="Calibri"/>
              </w:rPr>
            </w:pPr>
            <w:r>
              <w:t>Less than 10 per cent</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25699" w14:textId="77777777" w:rsidR="009F26EE" w:rsidRDefault="009F26EE" w:rsidP="00C21A33">
            <w:pPr>
              <w:jc w:val="both"/>
              <w:rPr>
                <w:rFonts w:ascii="Calibri" w:hAnsi="Calibri"/>
              </w:rPr>
            </w:pPr>
            <w:r>
              <w:t>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12783" w14:textId="77777777" w:rsidR="009F26EE" w:rsidRDefault="009F26EE" w:rsidP="00C21A33">
            <w:pPr>
              <w:jc w:val="both"/>
              <w:rPr>
                <w:rFonts w:ascii="Calibri" w:hAnsi="Calibri"/>
              </w:rPr>
            </w:pPr>
          </w:p>
        </w:tc>
      </w:tr>
      <w:tr w:rsidR="009F26EE" w14:paraId="4661D612"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hideMark/>
          </w:tcPr>
          <w:p w14:paraId="046CBEED" w14:textId="77777777" w:rsidR="009F26EE" w:rsidRDefault="009F26EE" w:rsidP="00C21A33">
            <w:pPr>
              <w:jc w:val="both"/>
              <w:rPr>
                <w:rFonts w:ascii="Calibri" w:hAnsi="Calibri"/>
              </w:rPr>
            </w:pPr>
            <w:r>
              <w:lastRenderedPageBreak/>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hideMark/>
          </w:tcPr>
          <w:p w14:paraId="5AE542F8" w14:textId="77777777" w:rsidR="009F26EE" w:rsidRDefault="009F26EE" w:rsidP="00C21A33">
            <w:pPr>
              <w:jc w:val="both"/>
              <w:rPr>
                <w:rFonts w:ascii="Calibri" w:hAnsi="Calibri"/>
              </w:rPr>
            </w:pPr>
            <w:r>
              <w:t>The total number of countries of origin for mined AND for recycled material is: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2846F8C4" w14:textId="77777777" w:rsidR="009F26EE" w:rsidRDefault="009F26EE" w:rsidP="00C21A33">
            <w:pPr>
              <w:jc w:val="both"/>
              <w:rPr>
                <w:rFonts w:ascii="Calibri" w:hAnsi="Calibri"/>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6CD" w:themeFill="accent1" w:themeFillTint="33"/>
            <w:vAlign w:val="center"/>
          </w:tcPr>
          <w:p w14:paraId="45C2346B" w14:textId="77777777" w:rsidR="009F26EE" w:rsidRDefault="009F26EE" w:rsidP="00C21A33">
            <w:pPr>
              <w:jc w:val="both"/>
              <w:rPr>
                <w:rFonts w:ascii="Calibri" w:hAnsi="Calibri"/>
              </w:rPr>
            </w:pPr>
          </w:p>
        </w:tc>
      </w:tr>
      <w:tr w:rsidR="009F26EE" w14:paraId="13662752"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E4B47"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ABB5B" w14:textId="77777777" w:rsidR="009F26EE" w:rsidRDefault="009F26EE" w:rsidP="00C21A33">
            <w:pPr>
              <w:jc w:val="both"/>
              <w:rPr>
                <w:rFonts w:ascii="Calibri" w:hAnsi="Calibri"/>
              </w:rPr>
            </w:pPr>
            <w:r>
              <w:t>More than 10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286BA" w14:textId="77777777" w:rsidR="009F26EE" w:rsidRDefault="009F26EE" w:rsidP="00C21A33">
            <w:pPr>
              <w:jc w:val="both"/>
              <w:rPr>
                <w:rFonts w:ascii="Calibri" w:hAnsi="Calibri"/>
              </w:rPr>
            </w:pPr>
            <w:r>
              <w:t>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739ED" w14:textId="77777777" w:rsidR="009F26EE" w:rsidRDefault="009F26EE" w:rsidP="00C21A33">
            <w:pPr>
              <w:jc w:val="both"/>
              <w:rPr>
                <w:rFonts w:ascii="Calibri" w:hAnsi="Calibri"/>
              </w:rPr>
            </w:pPr>
          </w:p>
        </w:tc>
      </w:tr>
      <w:tr w:rsidR="009F26EE" w14:paraId="0B2BAB1E"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F2FC2"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7FD71" w14:textId="77777777" w:rsidR="009F26EE" w:rsidRDefault="009F26EE" w:rsidP="00C21A33">
            <w:pPr>
              <w:jc w:val="both"/>
              <w:rPr>
                <w:rFonts w:ascii="Calibri" w:hAnsi="Calibri"/>
              </w:rPr>
            </w:pPr>
            <w:r>
              <w:t>More than 1 but less than 10</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2BB55" w14:textId="77777777" w:rsidR="009F26EE" w:rsidRDefault="009F26EE" w:rsidP="00C21A33">
            <w:pPr>
              <w:jc w:val="both"/>
              <w:rPr>
                <w:rFonts w:ascii="Calibri" w:hAnsi="Calibri"/>
              </w:rPr>
            </w:pPr>
            <w: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97934" w14:textId="77777777" w:rsidR="009F26EE" w:rsidRDefault="009F26EE" w:rsidP="00C21A33">
            <w:pPr>
              <w:jc w:val="both"/>
              <w:rPr>
                <w:rFonts w:ascii="Calibri" w:hAnsi="Calibri"/>
              </w:rPr>
            </w:pPr>
          </w:p>
        </w:tc>
      </w:tr>
      <w:tr w:rsidR="009F26EE" w14:paraId="550614CA" w14:textId="77777777" w:rsidTr="009F26E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04EAE" w14:textId="77777777" w:rsidR="009F26EE" w:rsidRDefault="009F26EE" w:rsidP="00C21A33">
            <w:pPr>
              <w:jc w:val="both"/>
              <w:rPr>
                <w:rFonts w:ascii="Calibri" w:hAnsi="Calibri"/>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72635" w14:textId="77777777" w:rsidR="009F26EE" w:rsidRDefault="009F26EE" w:rsidP="00C21A33">
            <w:pPr>
              <w:jc w:val="both"/>
              <w:rPr>
                <w:rFonts w:ascii="Calibri" w:hAnsi="Calibri"/>
              </w:rPr>
            </w:pPr>
            <w:r>
              <w:t>1 country</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16D30" w14:textId="77777777" w:rsidR="009F26EE" w:rsidRDefault="009F26EE" w:rsidP="00C21A33">
            <w:pPr>
              <w:jc w:val="both"/>
              <w:rPr>
                <w:rFonts w:ascii="Calibri" w:hAnsi="Calibri"/>
              </w:rPr>
            </w:pPr>
            <w:r>
              <w:t>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68B2C" w14:textId="77777777" w:rsidR="009F26EE" w:rsidRDefault="009F26EE" w:rsidP="00C21A33">
            <w:pPr>
              <w:jc w:val="both"/>
              <w:rPr>
                <w:rFonts w:ascii="Calibri" w:hAnsi="Calibri"/>
              </w:rPr>
            </w:pPr>
          </w:p>
        </w:tc>
      </w:tr>
    </w:tbl>
    <w:p w14:paraId="65587940" w14:textId="77777777" w:rsidR="009F26EE" w:rsidRDefault="009F26EE" w:rsidP="00C21A33">
      <w:pPr>
        <w:jc w:val="both"/>
        <w:rPr>
          <w:rFonts w:ascii="Calibri" w:hAnsi="Calibri"/>
        </w:rPr>
      </w:pPr>
    </w:p>
    <w:tbl>
      <w:tblPr>
        <w:tblW w:w="3252" w:type="dxa"/>
        <w:tblInd w:w="93" w:type="dxa"/>
        <w:tblLayout w:type="fixed"/>
        <w:tblLook w:val="04A0" w:firstRow="1" w:lastRow="0" w:firstColumn="1" w:lastColumn="0" w:noHBand="0" w:noVBand="1"/>
      </w:tblPr>
      <w:tblGrid>
        <w:gridCol w:w="2080"/>
        <w:gridCol w:w="1172"/>
      </w:tblGrid>
      <w:tr w:rsidR="009F26EE" w14:paraId="1C0ACF54" w14:textId="77777777" w:rsidTr="009F26EE">
        <w:trPr>
          <w:trHeight w:val="319"/>
        </w:trPr>
        <w:tc>
          <w:tcPr>
            <w:tcW w:w="2078" w:type="dxa"/>
            <w:vAlign w:val="center"/>
            <w:hideMark/>
          </w:tcPr>
          <w:p w14:paraId="0E306D5C" w14:textId="77777777" w:rsidR="009F26EE" w:rsidRDefault="009F26EE" w:rsidP="00C21A33">
            <w:pPr>
              <w:jc w:val="both"/>
              <w:rPr>
                <w:rFonts w:ascii="Calibri" w:eastAsia="Times New Roman" w:hAnsi="Calibri" w:cs="Times New Roman"/>
                <w:color w:val="000000"/>
              </w:rPr>
            </w:pPr>
            <w:r>
              <w:rPr>
                <w:rFonts w:eastAsia="Times New Roman" w:cs="Times New Roman"/>
                <w:color w:val="000000"/>
              </w:rPr>
              <w:t>Maximum Score</w:t>
            </w:r>
          </w:p>
        </w:tc>
        <w:tc>
          <w:tcPr>
            <w:tcW w:w="1170" w:type="dxa"/>
            <w:vAlign w:val="center"/>
            <w:hideMark/>
          </w:tcPr>
          <w:p w14:paraId="72E0257B" w14:textId="77777777" w:rsidR="009F26EE" w:rsidRDefault="009F26EE" w:rsidP="00C21A33">
            <w:pPr>
              <w:jc w:val="both"/>
              <w:rPr>
                <w:rFonts w:ascii="Calibri" w:eastAsia="Times New Roman" w:hAnsi="Calibri" w:cs="Times New Roman"/>
                <w:color w:val="000000"/>
              </w:rPr>
            </w:pPr>
            <w:r>
              <w:rPr>
                <w:rFonts w:eastAsia="Times New Roman" w:cs="Times New Roman"/>
                <w:color w:val="000000"/>
              </w:rPr>
              <w:t>19</w:t>
            </w:r>
          </w:p>
        </w:tc>
      </w:tr>
      <w:tr w:rsidR="009F26EE" w14:paraId="3484B639" w14:textId="77777777" w:rsidTr="009F26EE">
        <w:trPr>
          <w:trHeight w:val="319"/>
        </w:trPr>
        <w:tc>
          <w:tcPr>
            <w:tcW w:w="2078" w:type="dxa"/>
            <w:vAlign w:val="center"/>
            <w:hideMark/>
          </w:tcPr>
          <w:p w14:paraId="65C095B7" w14:textId="77777777" w:rsidR="009F26EE" w:rsidRDefault="009F26EE" w:rsidP="00C21A33">
            <w:pPr>
              <w:jc w:val="both"/>
              <w:rPr>
                <w:rFonts w:ascii="Calibri" w:eastAsia="Times New Roman" w:hAnsi="Calibri" w:cs="Times New Roman"/>
                <w:color w:val="000000"/>
              </w:rPr>
            </w:pPr>
            <w:r>
              <w:rPr>
                <w:rFonts w:eastAsia="Times New Roman" w:cs="Times New Roman"/>
                <w:color w:val="000000"/>
              </w:rPr>
              <w:t>Minimum Score</w:t>
            </w:r>
          </w:p>
        </w:tc>
        <w:tc>
          <w:tcPr>
            <w:tcW w:w="1170" w:type="dxa"/>
            <w:noWrap/>
            <w:vAlign w:val="bottom"/>
            <w:hideMark/>
          </w:tcPr>
          <w:p w14:paraId="283C8345" w14:textId="77777777" w:rsidR="009F26EE" w:rsidRDefault="009F26EE" w:rsidP="00C21A33">
            <w:pPr>
              <w:jc w:val="both"/>
              <w:rPr>
                <w:rFonts w:ascii="Calibri" w:eastAsia="Times New Roman" w:hAnsi="Calibri" w:cs="Times New Roman"/>
                <w:color w:val="000000"/>
              </w:rPr>
            </w:pPr>
            <w:r>
              <w:rPr>
                <w:rFonts w:eastAsia="Times New Roman" w:cs="Times New Roman"/>
                <w:color w:val="000000"/>
              </w:rPr>
              <w:t>1</w:t>
            </w:r>
          </w:p>
        </w:tc>
      </w:tr>
      <w:tr w:rsidR="009F26EE" w14:paraId="32D07348" w14:textId="77777777" w:rsidTr="009F26EE">
        <w:trPr>
          <w:trHeight w:val="319"/>
        </w:trPr>
        <w:tc>
          <w:tcPr>
            <w:tcW w:w="2078" w:type="dxa"/>
            <w:noWrap/>
            <w:vAlign w:val="bottom"/>
            <w:hideMark/>
          </w:tcPr>
          <w:p w14:paraId="624F7F79" w14:textId="0D88836C" w:rsidR="009F26EE" w:rsidRPr="005263BB" w:rsidRDefault="005263BB" w:rsidP="00C21A33">
            <w:pPr>
              <w:jc w:val="both"/>
              <w:rPr>
                <w:rFonts w:cs="Times New Roman"/>
              </w:rPr>
            </w:pPr>
            <w:r w:rsidRPr="005263BB">
              <w:rPr>
                <w:rFonts w:cs="Times New Roman"/>
              </w:rPr>
              <w:t>Risk Score:</w:t>
            </w:r>
          </w:p>
        </w:tc>
        <w:tc>
          <w:tcPr>
            <w:tcW w:w="1170" w:type="dxa"/>
            <w:noWrap/>
            <w:vAlign w:val="bottom"/>
            <w:hideMark/>
          </w:tcPr>
          <w:p w14:paraId="1EDA2BD6" w14:textId="77777777" w:rsidR="009F26EE" w:rsidRDefault="009F26EE" w:rsidP="00C21A33">
            <w:pPr>
              <w:jc w:val="both"/>
              <w:rPr>
                <w:rFonts w:cs="Times New Roman"/>
                <w:sz w:val="24"/>
                <w:szCs w:val="24"/>
              </w:rPr>
            </w:pPr>
          </w:p>
        </w:tc>
      </w:tr>
      <w:tr w:rsidR="009F26EE" w14:paraId="0881B8DF" w14:textId="77777777" w:rsidTr="009F26EE">
        <w:trPr>
          <w:trHeight w:val="319"/>
        </w:trPr>
        <w:tc>
          <w:tcPr>
            <w:tcW w:w="3249" w:type="dxa"/>
            <w:gridSpan w:val="2"/>
            <w:noWrap/>
            <w:vAlign w:val="bottom"/>
            <w:hideMark/>
          </w:tcPr>
          <w:p w14:paraId="01E35006" w14:textId="77777777" w:rsidR="009F26EE" w:rsidRDefault="009F26EE" w:rsidP="00C21A33">
            <w:pPr>
              <w:jc w:val="both"/>
              <w:rPr>
                <w:rFonts w:ascii="Calibri" w:eastAsia="Times New Roman" w:hAnsi="Calibri" w:cs="Times New Roman"/>
                <w:b/>
                <w:color w:val="000000"/>
              </w:rPr>
            </w:pPr>
            <w:r>
              <w:rPr>
                <w:rFonts w:eastAsia="Times New Roman" w:cs="Times New Roman"/>
                <w:b/>
                <w:color w:val="000000"/>
              </w:rPr>
              <w:t>Low Risk: 1 - 11</w:t>
            </w:r>
          </w:p>
        </w:tc>
      </w:tr>
      <w:tr w:rsidR="009F26EE" w14:paraId="0C11D895" w14:textId="77777777" w:rsidTr="009F26EE">
        <w:trPr>
          <w:trHeight w:val="319"/>
        </w:trPr>
        <w:tc>
          <w:tcPr>
            <w:tcW w:w="3249" w:type="dxa"/>
            <w:gridSpan w:val="2"/>
            <w:noWrap/>
            <w:vAlign w:val="bottom"/>
            <w:hideMark/>
          </w:tcPr>
          <w:p w14:paraId="739DE973" w14:textId="77777777" w:rsidR="009F26EE" w:rsidRDefault="009F26EE" w:rsidP="00C21A33">
            <w:pPr>
              <w:jc w:val="both"/>
              <w:rPr>
                <w:rFonts w:ascii="Calibri" w:eastAsia="Times New Roman" w:hAnsi="Calibri" w:cs="Times New Roman"/>
                <w:b/>
                <w:color w:val="000000"/>
              </w:rPr>
            </w:pPr>
            <w:r>
              <w:rPr>
                <w:rFonts w:eastAsia="Times New Roman" w:cs="Times New Roman"/>
                <w:b/>
                <w:color w:val="000000"/>
              </w:rPr>
              <w:t>Standard Risk: 12 - 19</w:t>
            </w:r>
          </w:p>
        </w:tc>
      </w:tr>
    </w:tbl>
    <w:p w14:paraId="49DFAE58" w14:textId="77777777" w:rsidR="009F26EE" w:rsidRDefault="009F26EE" w:rsidP="00C21A33">
      <w:pPr>
        <w:jc w:val="both"/>
        <w:rPr>
          <w:b/>
        </w:rPr>
      </w:pPr>
    </w:p>
    <w:p w14:paraId="78A72BE0" w14:textId="77777777" w:rsidR="009F26EE" w:rsidRDefault="009F26EE" w:rsidP="00C21A33">
      <w:pPr>
        <w:jc w:val="both"/>
        <w:rPr>
          <w:b/>
        </w:rPr>
      </w:pPr>
      <w:r>
        <w:rPr>
          <w:b/>
        </w:rPr>
        <w:t>Step 2: Selection of Sample</w:t>
      </w:r>
    </w:p>
    <w:p w14:paraId="1C2F5692" w14:textId="77777777" w:rsidR="009F26EE" w:rsidRDefault="009F26EE" w:rsidP="00C21A33">
      <w:pPr>
        <w:jc w:val="both"/>
      </w:pPr>
      <w:r>
        <w:t>Based on the risk score, the auditor will randomly select samples in accordance with the sampling plans below. The auditor is responsible to ensure the selected sample is representative in regards to:</w:t>
      </w:r>
    </w:p>
    <w:p w14:paraId="5F18E9F7" w14:textId="17671914" w:rsidR="009F26EE" w:rsidRDefault="009F26EE" w:rsidP="006256DB">
      <w:pPr>
        <w:pStyle w:val="ListParagraph"/>
        <w:numPr>
          <w:ilvl w:val="0"/>
          <w:numId w:val="38"/>
        </w:numPr>
        <w:spacing w:after="0" w:line="240" w:lineRule="auto"/>
        <w:jc w:val="both"/>
      </w:pPr>
      <w:r>
        <w:t>The proportion of secondary and non-secondary material as well as sub-categories of material (e.g. d</w:t>
      </w:r>
      <w:r w:rsidR="005263BB">
        <w:t>ifferent intermediate products).</w:t>
      </w:r>
    </w:p>
    <w:p w14:paraId="59D49B25" w14:textId="069F81CF" w:rsidR="009F26EE" w:rsidRDefault="005263BB" w:rsidP="006256DB">
      <w:pPr>
        <w:pStyle w:val="ListParagraph"/>
        <w:numPr>
          <w:ilvl w:val="0"/>
          <w:numId w:val="38"/>
        </w:numPr>
        <w:spacing w:after="0" w:line="240" w:lineRule="auto"/>
        <w:jc w:val="both"/>
      </w:pPr>
      <w:r>
        <w:t>The active suppliers.</w:t>
      </w:r>
    </w:p>
    <w:p w14:paraId="4C50C24B" w14:textId="2CC63487" w:rsidR="009F26EE" w:rsidRDefault="009F26EE" w:rsidP="006256DB">
      <w:pPr>
        <w:pStyle w:val="ListParagraph"/>
        <w:numPr>
          <w:ilvl w:val="0"/>
          <w:numId w:val="38"/>
        </w:numPr>
        <w:spacing w:after="0" w:line="240" w:lineRule="auto"/>
        <w:jc w:val="both"/>
      </w:pPr>
      <w:r>
        <w:t>The countries of origin</w:t>
      </w:r>
      <w:r w:rsidR="005263BB">
        <w:t>.</w:t>
      </w:r>
    </w:p>
    <w:p w14:paraId="513A87A5" w14:textId="77777777" w:rsidR="009F26EE" w:rsidRDefault="009F26EE" w:rsidP="006256DB">
      <w:pPr>
        <w:pStyle w:val="ListParagraph"/>
        <w:numPr>
          <w:ilvl w:val="0"/>
          <w:numId w:val="38"/>
        </w:numPr>
        <w:spacing w:after="0" w:line="240" w:lineRule="auto"/>
        <w:jc w:val="both"/>
      </w:pPr>
      <w:r>
        <w:t>Any anomalies observed in the review of transactions.</w:t>
      </w:r>
    </w:p>
    <w:p w14:paraId="4D729AF5" w14:textId="77777777" w:rsidR="009F26EE" w:rsidRDefault="009F26EE" w:rsidP="00C21A33">
      <w:pPr>
        <w:jc w:val="both"/>
      </w:pPr>
    </w:p>
    <w:p w14:paraId="2B3DC77C" w14:textId="53DA5F17" w:rsidR="009F26EE" w:rsidRDefault="009F26EE" w:rsidP="00C21A33">
      <w:pPr>
        <w:jc w:val="both"/>
        <w:rPr>
          <w:b/>
        </w:rPr>
      </w:pPr>
      <w:r>
        <w:rPr>
          <w:b/>
        </w:rPr>
        <w:t>Low Risk Sampling Plan</w:t>
      </w:r>
    </w:p>
    <w:tbl>
      <w:tblPr>
        <w:tblStyle w:val="TableGrid"/>
        <w:tblW w:w="0" w:type="auto"/>
        <w:tblLook w:val="04A0" w:firstRow="1" w:lastRow="0" w:firstColumn="1" w:lastColumn="0" w:noHBand="0" w:noVBand="1"/>
      </w:tblPr>
      <w:tblGrid>
        <w:gridCol w:w="4275"/>
        <w:gridCol w:w="4241"/>
      </w:tblGrid>
      <w:tr w:rsidR="009F26EE" w14:paraId="04A47FF0"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A9B29" w14:textId="77777777" w:rsidR="009F26EE" w:rsidRDefault="009F26EE" w:rsidP="00C21A33">
            <w:pPr>
              <w:jc w:val="both"/>
              <w:rPr>
                <w:rFonts w:ascii="Calibri" w:hAnsi="Calibri"/>
                <w:b/>
              </w:rPr>
            </w:pPr>
            <w:r>
              <w:rPr>
                <w:b/>
              </w:rPr>
              <w:t>Number of Level 1 and low risk transactions</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F802A" w14:textId="77777777" w:rsidR="009F26EE" w:rsidRDefault="009F26EE" w:rsidP="00C21A33">
            <w:pPr>
              <w:jc w:val="both"/>
              <w:rPr>
                <w:rFonts w:ascii="Calibri" w:hAnsi="Calibri"/>
                <w:b/>
              </w:rPr>
            </w:pPr>
            <w:r>
              <w:rPr>
                <w:b/>
              </w:rPr>
              <w:t>Sampling Size</w:t>
            </w:r>
          </w:p>
        </w:tc>
      </w:tr>
      <w:tr w:rsidR="009F26EE" w14:paraId="6A1F9884"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CC1E7" w14:textId="77777777" w:rsidR="009F26EE" w:rsidRDefault="009F26EE" w:rsidP="00C21A33">
            <w:pPr>
              <w:jc w:val="both"/>
              <w:rPr>
                <w:rFonts w:ascii="Calibri" w:hAnsi="Calibri"/>
              </w:rPr>
            </w:pPr>
            <w:r>
              <w:t>1 – 100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778BD" w14:textId="77777777" w:rsidR="009F26EE" w:rsidRDefault="009F26EE" w:rsidP="00C21A33">
            <w:pPr>
              <w:jc w:val="both"/>
              <w:rPr>
                <w:rFonts w:ascii="Calibri" w:hAnsi="Calibri"/>
              </w:rPr>
            </w:pPr>
            <w:r>
              <w:t>10</w:t>
            </w:r>
          </w:p>
        </w:tc>
      </w:tr>
      <w:tr w:rsidR="009F26EE" w14:paraId="1FD42B14"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AE016" w14:textId="77777777" w:rsidR="009F26EE" w:rsidRDefault="009F26EE" w:rsidP="00C21A33">
            <w:pPr>
              <w:jc w:val="both"/>
              <w:rPr>
                <w:rFonts w:ascii="Calibri" w:hAnsi="Calibri"/>
              </w:rPr>
            </w:pPr>
            <w:r>
              <w:t>101 – 250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3878E" w14:textId="77777777" w:rsidR="009F26EE" w:rsidRDefault="009F26EE" w:rsidP="00C21A33">
            <w:pPr>
              <w:jc w:val="both"/>
              <w:rPr>
                <w:rFonts w:ascii="Calibri" w:hAnsi="Calibri"/>
              </w:rPr>
            </w:pPr>
            <w:r>
              <w:t>11 – 15</w:t>
            </w:r>
          </w:p>
        </w:tc>
      </w:tr>
      <w:tr w:rsidR="009F26EE" w14:paraId="36809E15"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56599" w14:textId="77777777" w:rsidR="009F26EE" w:rsidRDefault="009F26EE" w:rsidP="00C21A33">
            <w:pPr>
              <w:jc w:val="both"/>
              <w:rPr>
                <w:rFonts w:ascii="Calibri" w:hAnsi="Calibri"/>
              </w:rPr>
            </w:pPr>
            <w:r>
              <w:t>250 – 500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7756C" w14:textId="77777777" w:rsidR="009F26EE" w:rsidRDefault="009F26EE" w:rsidP="00C21A33">
            <w:pPr>
              <w:jc w:val="both"/>
              <w:rPr>
                <w:rFonts w:ascii="Calibri" w:hAnsi="Calibri"/>
              </w:rPr>
            </w:pPr>
            <w:r>
              <w:t>16 – 20</w:t>
            </w:r>
          </w:p>
        </w:tc>
      </w:tr>
      <w:tr w:rsidR="009F26EE" w14:paraId="74CF6C1B"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D4A0A" w14:textId="77777777" w:rsidR="009F26EE" w:rsidRDefault="009F26EE" w:rsidP="00C21A33">
            <w:pPr>
              <w:jc w:val="both"/>
              <w:rPr>
                <w:rFonts w:ascii="Calibri" w:hAnsi="Calibri"/>
              </w:rPr>
            </w:pPr>
            <w:r>
              <w:t>501 – 1000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E6D99" w14:textId="77777777" w:rsidR="009F26EE" w:rsidRDefault="009F26EE" w:rsidP="00C21A33">
            <w:pPr>
              <w:jc w:val="both"/>
              <w:rPr>
                <w:rFonts w:ascii="Calibri" w:hAnsi="Calibri"/>
              </w:rPr>
            </w:pPr>
            <w:r>
              <w:t>21 – 25</w:t>
            </w:r>
          </w:p>
        </w:tc>
      </w:tr>
      <w:tr w:rsidR="009F26EE" w14:paraId="1B5CA71B"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34CCE" w14:textId="77777777" w:rsidR="009F26EE" w:rsidRDefault="009F26EE" w:rsidP="00C21A33">
            <w:pPr>
              <w:jc w:val="both"/>
              <w:rPr>
                <w:rFonts w:ascii="Calibri" w:hAnsi="Calibri"/>
              </w:rPr>
            </w:pPr>
            <w:r>
              <w:t>1001 – 5000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6648F" w14:textId="77777777" w:rsidR="009F26EE" w:rsidRDefault="009F26EE" w:rsidP="00C21A33">
            <w:pPr>
              <w:jc w:val="both"/>
              <w:rPr>
                <w:rFonts w:ascii="Calibri" w:hAnsi="Calibri"/>
              </w:rPr>
            </w:pPr>
            <w:r>
              <w:t>25 – 30</w:t>
            </w:r>
          </w:p>
        </w:tc>
      </w:tr>
      <w:tr w:rsidR="009F26EE" w14:paraId="0A33652B"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37287" w14:textId="77777777" w:rsidR="009F26EE" w:rsidRDefault="009F26EE" w:rsidP="00C21A33">
            <w:pPr>
              <w:jc w:val="both"/>
              <w:rPr>
                <w:rFonts w:ascii="Calibri" w:hAnsi="Calibri"/>
              </w:rPr>
            </w:pPr>
            <w:r>
              <w:t>5001 – 10000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D75F7" w14:textId="77777777" w:rsidR="009F26EE" w:rsidRDefault="009F26EE" w:rsidP="00C21A33">
            <w:pPr>
              <w:jc w:val="both"/>
              <w:rPr>
                <w:rFonts w:ascii="Calibri" w:hAnsi="Calibri"/>
              </w:rPr>
            </w:pPr>
            <w:r>
              <w:t>31 - 50</w:t>
            </w:r>
          </w:p>
        </w:tc>
      </w:tr>
    </w:tbl>
    <w:p w14:paraId="70BCCD54" w14:textId="77777777" w:rsidR="009F26EE" w:rsidRDefault="009F26EE" w:rsidP="00C21A33">
      <w:pPr>
        <w:jc w:val="both"/>
        <w:rPr>
          <w:rFonts w:ascii="Calibri" w:hAnsi="Calibri"/>
          <w:b/>
        </w:rPr>
      </w:pPr>
    </w:p>
    <w:p w14:paraId="17A1B65F" w14:textId="7B7EC886" w:rsidR="009F26EE" w:rsidRDefault="009F26EE" w:rsidP="00C21A33">
      <w:pPr>
        <w:jc w:val="both"/>
        <w:rPr>
          <w:b/>
        </w:rPr>
      </w:pPr>
      <w:r>
        <w:rPr>
          <w:b/>
        </w:rPr>
        <w:t>Standard Risk Sampling Plan</w:t>
      </w:r>
    </w:p>
    <w:tbl>
      <w:tblPr>
        <w:tblStyle w:val="TableGrid"/>
        <w:tblW w:w="0" w:type="auto"/>
        <w:tblLook w:val="04A0" w:firstRow="1" w:lastRow="0" w:firstColumn="1" w:lastColumn="0" w:noHBand="0" w:noVBand="1"/>
      </w:tblPr>
      <w:tblGrid>
        <w:gridCol w:w="4275"/>
        <w:gridCol w:w="4241"/>
      </w:tblGrid>
      <w:tr w:rsidR="009F26EE" w14:paraId="33F6424D"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E2A3D" w14:textId="77777777" w:rsidR="009F26EE" w:rsidRDefault="009F26EE" w:rsidP="00C21A33">
            <w:pPr>
              <w:jc w:val="both"/>
              <w:rPr>
                <w:rFonts w:ascii="Calibri" w:hAnsi="Calibri"/>
                <w:b/>
              </w:rPr>
            </w:pPr>
            <w:r>
              <w:rPr>
                <w:b/>
              </w:rPr>
              <w:t>Number of Level 1 and low risk transactions</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723D4" w14:textId="77777777" w:rsidR="009F26EE" w:rsidRDefault="009F26EE" w:rsidP="00C21A33">
            <w:pPr>
              <w:jc w:val="both"/>
              <w:rPr>
                <w:rFonts w:ascii="Calibri" w:hAnsi="Calibri"/>
                <w:b/>
              </w:rPr>
            </w:pPr>
            <w:r>
              <w:rPr>
                <w:b/>
              </w:rPr>
              <w:t>Sampling Size</w:t>
            </w:r>
          </w:p>
        </w:tc>
      </w:tr>
      <w:tr w:rsidR="009F26EE" w14:paraId="77C33BF4"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45FD" w14:textId="77777777" w:rsidR="009F26EE" w:rsidRDefault="009F26EE" w:rsidP="00C21A33">
            <w:pPr>
              <w:jc w:val="both"/>
              <w:rPr>
                <w:rFonts w:ascii="Calibri" w:hAnsi="Calibri"/>
              </w:rPr>
            </w:pPr>
            <w:r>
              <w:t>1 – 100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BAF5C" w14:textId="77777777" w:rsidR="009F26EE" w:rsidRDefault="009F26EE" w:rsidP="00C21A33">
            <w:pPr>
              <w:jc w:val="both"/>
              <w:rPr>
                <w:rFonts w:ascii="Calibri" w:hAnsi="Calibri"/>
              </w:rPr>
            </w:pPr>
            <w:r>
              <w:t>10</w:t>
            </w:r>
          </w:p>
        </w:tc>
      </w:tr>
      <w:tr w:rsidR="009F26EE" w14:paraId="07427253"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FF030" w14:textId="77777777" w:rsidR="009F26EE" w:rsidRDefault="009F26EE" w:rsidP="00C21A33">
            <w:pPr>
              <w:jc w:val="both"/>
              <w:rPr>
                <w:rFonts w:ascii="Calibri" w:hAnsi="Calibri"/>
              </w:rPr>
            </w:pPr>
            <w:r>
              <w:t>101 – 250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E0E2C" w14:textId="77777777" w:rsidR="009F26EE" w:rsidRDefault="009F26EE" w:rsidP="00C21A33">
            <w:pPr>
              <w:jc w:val="both"/>
              <w:rPr>
                <w:rFonts w:ascii="Calibri" w:hAnsi="Calibri"/>
              </w:rPr>
            </w:pPr>
            <w:r>
              <w:t>11 – 20</w:t>
            </w:r>
          </w:p>
        </w:tc>
      </w:tr>
      <w:tr w:rsidR="009F26EE" w14:paraId="18F1D088"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88071" w14:textId="77777777" w:rsidR="009F26EE" w:rsidRDefault="009F26EE" w:rsidP="00C21A33">
            <w:pPr>
              <w:jc w:val="both"/>
              <w:rPr>
                <w:rFonts w:ascii="Calibri" w:hAnsi="Calibri"/>
              </w:rPr>
            </w:pPr>
            <w:r>
              <w:t>250 – 500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441EB" w14:textId="77777777" w:rsidR="009F26EE" w:rsidRDefault="009F26EE" w:rsidP="00C21A33">
            <w:pPr>
              <w:jc w:val="both"/>
              <w:rPr>
                <w:rFonts w:ascii="Calibri" w:hAnsi="Calibri"/>
              </w:rPr>
            </w:pPr>
            <w:r>
              <w:t>21 – 30</w:t>
            </w:r>
          </w:p>
        </w:tc>
      </w:tr>
      <w:tr w:rsidR="009F26EE" w14:paraId="164FB96A"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9A423" w14:textId="77777777" w:rsidR="009F26EE" w:rsidRDefault="009F26EE" w:rsidP="00C21A33">
            <w:pPr>
              <w:jc w:val="both"/>
              <w:rPr>
                <w:rFonts w:ascii="Calibri" w:hAnsi="Calibri"/>
              </w:rPr>
            </w:pPr>
            <w:r>
              <w:t>501 – 1000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A8511" w14:textId="77777777" w:rsidR="009F26EE" w:rsidRDefault="009F26EE" w:rsidP="00C21A33">
            <w:pPr>
              <w:jc w:val="both"/>
              <w:rPr>
                <w:rFonts w:ascii="Calibri" w:hAnsi="Calibri"/>
              </w:rPr>
            </w:pPr>
            <w:r>
              <w:t>31 – 45</w:t>
            </w:r>
          </w:p>
        </w:tc>
      </w:tr>
      <w:tr w:rsidR="009F26EE" w14:paraId="7E8CF52A"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8E1FD" w14:textId="77777777" w:rsidR="009F26EE" w:rsidRDefault="009F26EE" w:rsidP="00C21A33">
            <w:pPr>
              <w:jc w:val="both"/>
              <w:rPr>
                <w:rFonts w:ascii="Calibri" w:hAnsi="Calibri"/>
              </w:rPr>
            </w:pPr>
            <w:r>
              <w:t>1001 – 5000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26F85" w14:textId="77777777" w:rsidR="009F26EE" w:rsidRDefault="009F26EE" w:rsidP="00C21A33">
            <w:pPr>
              <w:jc w:val="both"/>
              <w:rPr>
                <w:rFonts w:ascii="Calibri" w:hAnsi="Calibri"/>
              </w:rPr>
            </w:pPr>
            <w:r>
              <w:t>46 – 100</w:t>
            </w:r>
          </w:p>
        </w:tc>
      </w:tr>
      <w:tr w:rsidR="009F26EE" w14:paraId="45FE0C73" w14:textId="77777777" w:rsidTr="009F26EE">
        <w:trPr>
          <w:cantSplit/>
        </w:trPr>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640C7" w14:textId="77777777" w:rsidR="009F26EE" w:rsidRDefault="009F26EE" w:rsidP="00C21A33">
            <w:pPr>
              <w:jc w:val="both"/>
              <w:rPr>
                <w:rFonts w:ascii="Calibri" w:hAnsi="Calibri"/>
              </w:rPr>
            </w:pPr>
            <w:r>
              <w:lastRenderedPageBreak/>
              <w:t>5001 – 10000</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FB0CB" w14:textId="77777777" w:rsidR="009F26EE" w:rsidRDefault="009F26EE" w:rsidP="00C21A33">
            <w:pPr>
              <w:jc w:val="both"/>
              <w:rPr>
                <w:rFonts w:ascii="Calibri" w:hAnsi="Calibri"/>
              </w:rPr>
            </w:pPr>
            <w:r>
              <w:t>101 - 250</w:t>
            </w:r>
          </w:p>
        </w:tc>
      </w:tr>
    </w:tbl>
    <w:p w14:paraId="3E307FAA" w14:textId="77777777" w:rsidR="009F26EE" w:rsidRDefault="009F26EE" w:rsidP="00C21A33">
      <w:pPr>
        <w:jc w:val="both"/>
        <w:rPr>
          <w:rFonts w:ascii="Calibri" w:hAnsi="Calibri"/>
        </w:rPr>
      </w:pPr>
    </w:p>
    <w:p w14:paraId="0D35665E" w14:textId="77777777" w:rsidR="009F26EE" w:rsidRDefault="009F26EE" w:rsidP="00C21A33">
      <w:pPr>
        <w:jc w:val="both"/>
      </w:pPr>
      <w:r>
        <w:t>Where reasonable doubt remains, the auditor shall increase the sample size and shall justify the applied sampling approach in the audit report.</w:t>
      </w:r>
    </w:p>
    <w:p w14:paraId="4755A23C" w14:textId="77777777" w:rsidR="00E90972" w:rsidRDefault="00E90972" w:rsidP="00C21A33">
      <w:pPr>
        <w:spacing w:after="0" w:line="240" w:lineRule="auto"/>
        <w:jc w:val="both"/>
        <w:rPr>
          <w:b/>
        </w:rPr>
      </w:pPr>
      <w:r>
        <w:rPr>
          <w:b/>
        </w:rPr>
        <w:br w:type="page"/>
      </w:r>
    </w:p>
    <w:p w14:paraId="625A54A2" w14:textId="04B66BFF" w:rsidR="009A6217" w:rsidRDefault="009A6217" w:rsidP="00C21A33">
      <w:pPr>
        <w:pStyle w:val="Heading2"/>
        <w:numPr>
          <w:ilvl w:val="0"/>
          <w:numId w:val="0"/>
        </w:numPr>
        <w:spacing w:before="0"/>
        <w:jc w:val="both"/>
      </w:pPr>
      <w:bookmarkStart w:id="45" w:name="_Toc450308538"/>
      <w:bookmarkStart w:id="46" w:name="_Toc315084487"/>
      <w:r>
        <w:lastRenderedPageBreak/>
        <w:t>A</w:t>
      </w:r>
      <w:r w:rsidR="00D439D6">
        <w:t>nnex</w:t>
      </w:r>
      <w:r>
        <w:t xml:space="preserve"> I</w:t>
      </w:r>
      <w:r w:rsidR="00D34E4B">
        <w:t>V</w:t>
      </w:r>
      <w:r>
        <w:t xml:space="preserve">: </w:t>
      </w:r>
      <w:r w:rsidR="00D34E4B">
        <w:t xml:space="preserve">Tin </w:t>
      </w:r>
      <w:r w:rsidR="00797885">
        <w:t>Company and Material Types</w:t>
      </w:r>
      <w:bookmarkEnd w:id="45"/>
      <w:r w:rsidR="00797885">
        <w:t xml:space="preserve"> </w:t>
      </w:r>
      <w:bookmarkEnd w:id="46"/>
    </w:p>
    <w:p w14:paraId="74B9C2FB" w14:textId="48470694" w:rsidR="00345573" w:rsidRPr="00472222" w:rsidRDefault="00472222" w:rsidP="00C21A33">
      <w:pPr>
        <w:spacing w:after="0" w:line="240" w:lineRule="auto"/>
        <w:jc w:val="both"/>
        <w:rPr>
          <w:b/>
        </w:rPr>
      </w:pPr>
      <w:r>
        <w:br/>
      </w:r>
      <w:r w:rsidRPr="00472222">
        <w:rPr>
          <w:b/>
        </w:rPr>
        <w:t>Tin Companies</w:t>
      </w:r>
    </w:p>
    <w:p w14:paraId="09D0DD4B" w14:textId="4E68A779" w:rsidR="00F939A4" w:rsidRDefault="00F939A4" w:rsidP="00C21A33">
      <w:pPr>
        <w:spacing w:after="0" w:line="240" w:lineRule="auto"/>
        <w:jc w:val="both"/>
      </w:pPr>
      <w:r>
        <w:t>Downstream from the smelting process, companies may perform a range of metal treatment or processing such as refining or alloying, and may have the capability to utilize a range of primary or secondary tin containing materials creating the opportunity for non-CFS</w:t>
      </w:r>
      <w:r w:rsidR="0064150D">
        <w:t>P</w:t>
      </w:r>
      <w:r>
        <w:t xml:space="preserve"> validated materi</w:t>
      </w:r>
      <w:r w:rsidR="00CC1A1D">
        <w:t xml:space="preserve">als to enter the supply chain. </w:t>
      </w:r>
      <w:r>
        <w:t>In consideration of this complex situation (See Figure 1 below), independent audit or another form of evaluation of non-smelt</w:t>
      </w:r>
      <w:r w:rsidR="00CC1A1D">
        <w:t xml:space="preserve">er companies may be necessary. </w:t>
      </w:r>
      <w:r>
        <w:t>Notes regarding possible evaluation o</w:t>
      </w:r>
      <w:r w:rsidR="00AF3FDA">
        <w:t>f</w:t>
      </w:r>
      <w:r>
        <w:t xml:space="preserve"> refining companies, tin product manufacturers, and traders are provided below.</w:t>
      </w:r>
    </w:p>
    <w:p w14:paraId="7B209944" w14:textId="77777777" w:rsidR="0075603E" w:rsidRDefault="0075603E" w:rsidP="00C21A33">
      <w:pPr>
        <w:spacing w:after="0" w:line="240" w:lineRule="auto"/>
        <w:jc w:val="both"/>
        <w:rPr>
          <w:i/>
        </w:rPr>
      </w:pPr>
    </w:p>
    <w:p w14:paraId="2CC633E1" w14:textId="44D3141D" w:rsidR="00F939A4" w:rsidRDefault="0064150D" w:rsidP="00C21A33">
      <w:pPr>
        <w:spacing w:after="0" w:line="240" w:lineRule="auto"/>
        <w:jc w:val="both"/>
      </w:pPr>
      <w:r>
        <w:rPr>
          <w:i/>
        </w:rPr>
        <w:t>Tin r</w:t>
      </w:r>
      <w:r w:rsidR="00F939A4" w:rsidRPr="00880951">
        <w:rPr>
          <w:i/>
        </w:rPr>
        <w:t>efining companies:</w:t>
      </w:r>
      <w:r w:rsidR="00F939A4">
        <w:t xml:space="preserve">  </w:t>
      </w:r>
    </w:p>
    <w:p w14:paraId="4AC109F7" w14:textId="76CAEA12" w:rsidR="00F939A4" w:rsidRDefault="00F939A4" w:rsidP="00C21A33">
      <w:pPr>
        <w:spacing w:after="0" w:line="240" w:lineRule="auto"/>
        <w:jc w:val="both"/>
      </w:pPr>
      <w:r>
        <w:t xml:space="preserve">Smelters typically operate refining </w:t>
      </w:r>
      <w:r w:rsidRPr="006E62AC">
        <w:t>facilities at</w:t>
      </w:r>
      <w:r>
        <w:t xml:space="preserve"> the smelting facility in order to remove impurities or other unwanted material from the tin metal output from the smelting plant and produce fully </w:t>
      </w:r>
      <w:r w:rsidR="00CC1A1D">
        <w:t xml:space="preserve">refined tin of various grades. </w:t>
      </w:r>
      <w:r>
        <w:t xml:space="preserve">The refining stage, if occurring at a smelter, would be included in the mass balance and </w:t>
      </w:r>
      <w:r w:rsidR="00DC628C">
        <w:t>LIS</w:t>
      </w:r>
      <w:r>
        <w:t xml:space="preserve"> evaluation of the smelter company audit, therefore providing verification that input into smelter refineries is from a conflict-free source. </w:t>
      </w:r>
    </w:p>
    <w:p w14:paraId="2CA4C8E7" w14:textId="77777777" w:rsidR="0075603E" w:rsidRDefault="0075603E" w:rsidP="00C21A33">
      <w:pPr>
        <w:spacing w:after="0" w:line="240" w:lineRule="auto"/>
        <w:jc w:val="both"/>
        <w:rPr>
          <w:i/>
        </w:rPr>
      </w:pPr>
    </w:p>
    <w:p w14:paraId="515F7466" w14:textId="6AFD8A3D" w:rsidR="00F939A4" w:rsidRDefault="0064150D" w:rsidP="00C21A33">
      <w:pPr>
        <w:spacing w:after="0" w:line="240" w:lineRule="auto"/>
        <w:jc w:val="both"/>
      </w:pPr>
      <w:r>
        <w:rPr>
          <w:i/>
        </w:rPr>
        <w:t>Tin product manufacturing c</w:t>
      </w:r>
      <w:r w:rsidR="00F939A4" w:rsidRPr="00880951">
        <w:rPr>
          <w:i/>
        </w:rPr>
        <w:t>ompanies:</w:t>
      </w:r>
      <w:r w:rsidR="00F939A4">
        <w:t xml:space="preserve">  </w:t>
      </w:r>
    </w:p>
    <w:p w14:paraId="56013EF3" w14:textId="77777777" w:rsidR="00F939A4" w:rsidRDefault="00F939A4" w:rsidP="00C21A33">
      <w:pPr>
        <w:spacing w:after="0" w:line="240" w:lineRule="auto"/>
        <w:jc w:val="both"/>
      </w:pPr>
      <w:r>
        <w:t xml:space="preserve">While product manufacturers such as solder and other alloy manufacturers are not traditionally considered smelters or refiners, some may have the capability to utilize a range of input materials aside from standard grade(s) of tin, in particular low grade/impure or unbranded tin. Smelters operating refineries, as well as independent refineries, may also continue processing to manufacture tin product such as solder. </w:t>
      </w:r>
    </w:p>
    <w:p w14:paraId="315B16CB" w14:textId="77777777" w:rsidR="0075603E" w:rsidRDefault="0075603E" w:rsidP="00C21A33">
      <w:pPr>
        <w:spacing w:after="0" w:line="240" w:lineRule="auto"/>
        <w:jc w:val="both"/>
      </w:pPr>
    </w:p>
    <w:p w14:paraId="08D8DE93" w14:textId="5E5EA623" w:rsidR="00F939A4" w:rsidRDefault="00F939A4" w:rsidP="00C21A33">
      <w:pPr>
        <w:spacing w:after="0" w:line="240" w:lineRule="auto"/>
        <w:jc w:val="both"/>
      </w:pPr>
      <w:r>
        <w:t>The differentiation between a refiner and alloy manufacturer, especially when secondary input materials may be used, is not clear and the need for auditing of the input sources of such companies will be evaluated on a case by case basis</w:t>
      </w:r>
      <w:r w:rsidR="00CC1A1D">
        <w:t xml:space="preserve"> </w:t>
      </w:r>
      <w:r w:rsidR="0021791E">
        <w:t xml:space="preserve">by the CFSP </w:t>
      </w:r>
      <w:r>
        <w:t xml:space="preserve">depending on the company capabilities and operations. </w:t>
      </w:r>
    </w:p>
    <w:p w14:paraId="0E864769" w14:textId="77777777" w:rsidR="0075603E" w:rsidRDefault="0075603E" w:rsidP="00C21A33">
      <w:pPr>
        <w:pStyle w:val="Caption"/>
        <w:spacing w:after="0"/>
        <w:jc w:val="both"/>
      </w:pPr>
    </w:p>
    <w:p w14:paraId="50BC5094" w14:textId="55A95839" w:rsidR="00F939A4" w:rsidRPr="00ED4AEA" w:rsidRDefault="0021791E" w:rsidP="00C21A33">
      <w:pPr>
        <w:pStyle w:val="Caption"/>
        <w:spacing w:after="0"/>
        <w:jc w:val="both"/>
      </w:pPr>
      <w:r>
        <w:t xml:space="preserve">Figure </w:t>
      </w:r>
      <w:fldSimple w:instr=" SEQ Figure \* ARABIC ">
        <w:r w:rsidR="0008317B">
          <w:rPr>
            <w:noProof/>
          </w:rPr>
          <w:t>2</w:t>
        </w:r>
      </w:fldSimple>
      <w:r>
        <w:t>: complexity of the tin supply chain</w:t>
      </w:r>
    </w:p>
    <w:p w14:paraId="636C258B" w14:textId="77777777" w:rsidR="00F939A4" w:rsidRDefault="00F939A4" w:rsidP="00C21A33">
      <w:pPr>
        <w:spacing w:after="0" w:line="240" w:lineRule="auto"/>
        <w:jc w:val="both"/>
      </w:pPr>
      <w:r>
        <w:rPr>
          <w:noProof/>
          <w:lang w:eastAsia="en-US"/>
        </w:rPr>
        <w:drawing>
          <wp:inline distT="0" distB="0" distL="0" distR="0" wp14:anchorId="46E925EE" wp14:editId="6F2E0CDA">
            <wp:extent cx="2574299" cy="18237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402" cy="1824502"/>
                    </a:xfrm>
                    <a:prstGeom prst="rect">
                      <a:avLst/>
                    </a:prstGeom>
                    <a:noFill/>
                    <a:ln>
                      <a:noFill/>
                    </a:ln>
                  </pic:spPr>
                </pic:pic>
              </a:graphicData>
            </a:graphic>
          </wp:inline>
        </w:drawing>
      </w:r>
    </w:p>
    <w:p w14:paraId="54F22482" w14:textId="77777777" w:rsidR="00345573" w:rsidRPr="00345573" w:rsidRDefault="00345573" w:rsidP="00C21A33">
      <w:pPr>
        <w:spacing w:after="0" w:line="240" w:lineRule="auto"/>
        <w:jc w:val="both"/>
      </w:pPr>
    </w:p>
    <w:p w14:paraId="3F205435" w14:textId="77777777" w:rsidR="00D037D6" w:rsidRDefault="00D037D6" w:rsidP="00C21A33">
      <w:pPr>
        <w:spacing w:after="0" w:line="240" w:lineRule="auto"/>
        <w:jc w:val="both"/>
        <w:rPr>
          <w:rFonts w:ascii="Calibri" w:hAnsi="Calibri"/>
        </w:rPr>
      </w:pPr>
    </w:p>
    <w:p w14:paraId="306696E7" w14:textId="6AB7D696" w:rsidR="00472222" w:rsidRPr="00472222" w:rsidRDefault="00472222" w:rsidP="00C21A33">
      <w:pPr>
        <w:spacing w:after="0" w:line="240" w:lineRule="auto"/>
        <w:jc w:val="both"/>
        <w:rPr>
          <w:rFonts w:ascii="Calibri" w:hAnsi="Calibri"/>
          <w:b/>
        </w:rPr>
      </w:pPr>
      <w:r w:rsidRPr="00472222">
        <w:rPr>
          <w:rFonts w:ascii="Calibri" w:hAnsi="Calibri"/>
          <w:b/>
        </w:rPr>
        <w:t>Material Types</w:t>
      </w:r>
    </w:p>
    <w:p w14:paraId="5B6B7A05" w14:textId="27420B52" w:rsidR="00DB5212" w:rsidRPr="00677261" w:rsidRDefault="00CE32C2" w:rsidP="00C21A33">
      <w:pPr>
        <w:spacing w:after="0" w:line="240" w:lineRule="auto"/>
        <w:jc w:val="both"/>
        <w:rPr>
          <w:rFonts w:ascii="Calibri" w:hAnsi="Calibri"/>
        </w:rPr>
      </w:pPr>
      <w:r w:rsidRPr="00677261">
        <w:rPr>
          <w:rFonts w:ascii="Calibri" w:hAnsi="Calibri"/>
        </w:rPr>
        <w:t xml:space="preserve">Tin has many hundreds of uses both as the metal, and as organic and inorganic compounds. Tin containing material may therefore arise from hundreds of sources and cannot be specifically described.  </w:t>
      </w:r>
    </w:p>
    <w:p w14:paraId="70186A4C" w14:textId="77777777" w:rsidR="00472222" w:rsidRDefault="00472222" w:rsidP="00C21A33">
      <w:pPr>
        <w:spacing w:after="0" w:line="240" w:lineRule="auto"/>
        <w:jc w:val="both"/>
        <w:rPr>
          <w:rFonts w:ascii="Calibri" w:hAnsi="Calibri"/>
        </w:rPr>
      </w:pPr>
    </w:p>
    <w:p w14:paraId="1E0FD1DD" w14:textId="73B2E0CA" w:rsidR="00DB5212" w:rsidRPr="00677261" w:rsidRDefault="00D037D6" w:rsidP="00C21A33">
      <w:pPr>
        <w:spacing w:after="0" w:line="240" w:lineRule="auto"/>
        <w:jc w:val="both"/>
        <w:rPr>
          <w:rFonts w:ascii="Calibri" w:hAnsi="Calibri"/>
        </w:rPr>
      </w:pPr>
      <w:r w:rsidRPr="00D037D6">
        <w:rPr>
          <w:rFonts w:ascii="Calibri" w:hAnsi="Calibri"/>
        </w:rPr>
        <w:lastRenderedPageBreak/>
        <w:t>A</w:t>
      </w:r>
      <w:r w:rsidR="00DB5212" w:rsidRPr="00677261">
        <w:rPr>
          <w:rFonts w:ascii="Calibri" w:hAnsi="Calibri"/>
        </w:rPr>
        <w:t xml:space="preserve"> smelter may receive material which is not in ingot form from a supplying smelter or a tin product manufacturer, the composition of which is mainly tin and which is unused for its primary purpose. In this case the material does not fall under the definition of secondary materials</w:t>
      </w:r>
      <w:r>
        <w:rPr>
          <w:rFonts w:ascii="Calibri" w:hAnsi="Calibri"/>
        </w:rPr>
        <w:t>.</w:t>
      </w:r>
    </w:p>
    <w:p w14:paraId="353ED652" w14:textId="4535050E" w:rsidR="00CE32C2" w:rsidRDefault="00CE32C2" w:rsidP="00C21A33">
      <w:pPr>
        <w:spacing w:after="0" w:line="240" w:lineRule="auto"/>
        <w:jc w:val="both"/>
        <w:rPr>
          <w:rFonts w:ascii="Calibri" w:hAnsi="Calibri"/>
        </w:rPr>
      </w:pPr>
      <w:r w:rsidRPr="00677261">
        <w:rPr>
          <w:rFonts w:ascii="Calibri" w:hAnsi="Calibri"/>
        </w:rPr>
        <w:t>As an indication, secondary materials and sources may include, but are not limited to those described below:</w:t>
      </w:r>
    </w:p>
    <w:p w14:paraId="506E3C91" w14:textId="77777777" w:rsidR="0075603E" w:rsidRPr="00677261" w:rsidRDefault="0075603E" w:rsidP="00C21A33">
      <w:pPr>
        <w:spacing w:after="0" w:line="240" w:lineRule="auto"/>
        <w:jc w:val="both"/>
        <w:rPr>
          <w:rFonts w:ascii="Calibri" w:hAnsi="Calibri"/>
        </w:rPr>
      </w:pPr>
    </w:p>
    <w:p w14:paraId="46B0C83A" w14:textId="77777777" w:rsidR="00CE32C2" w:rsidRPr="00677261" w:rsidRDefault="00CE32C2" w:rsidP="00C21A33">
      <w:pPr>
        <w:spacing w:after="0" w:line="240" w:lineRule="auto"/>
        <w:jc w:val="both"/>
        <w:rPr>
          <w:rFonts w:ascii="Calibri" w:hAnsi="Calibri"/>
        </w:rPr>
      </w:pPr>
      <w:r w:rsidRPr="00677261">
        <w:rPr>
          <w:rFonts w:ascii="Calibri" w:hAnsi="Calibri"/>
        </w:rPr>
        <w:t>1.  Manufacture of tin tubes, foils, and other similar forms.  Producers of tin and tin alloys</w:t>
      </w:r>
      <w:r w:rsidR="00FE0A69" w:rsidRPr="00677261">
        <w:rPr>
          <w:rFonts w:ascii="Calibri" w:hAnsi="Calibri"/>
        </w:rPr>
        <w:t>, lead, copper (</w:t>
      </w:r>
      <w:r w:rsidR="00DE140B" w:rsidRPr="00677261">
        <w:rPr>
          <w:rFonts w:ascii="Calibri" w:hAnsi="Calibri"/>
        </w:rPr>
        <w:t>for example,</w:t>
      </w:r>
      <w:r w:rsidR="00FE0A69" w:rsidRPr="00677261">
        <w:rPr>
          <w:rFonts w:ascii="Calibri" w:hAnsi="Calibri"/>
        </w:rPr>
        <w:t xml:space="preserve"> brasses, bronzes, gunmetal, Babbitt metal, etc.), zinc, titanium, aluminum, steel, cast iron and a variety of other metal alloy manufacturers.</w:t>
      </w:r>
    </w:p>
    <w:p w14:paraId="06FE3B01"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Melting drosses, skimmings, ashes and runouts from the casting processes</w:t>
      </w:r>
    </w:p>
    <w:p w14:paraId="622A5859"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Refining and spent dross and refining slag (dross produced in liquid form)</w:t>
      </w:r>
    </w:p>
    <w:p w14:paraId="0D8C3703"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Off-cuts, or out of specification or contaminated material</w:t>
      </w:r>
    </w:p>
    <w:p w14:paraId="5727180C"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Gas cleaning sludge and dust</w:t>
      </w:r>
    </w:p>
    <w:p w14:paraId="11D279C6"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Water treatment sludge</w:t>
      </w:r>
    </w:p>
    <w:p w14:paraId="52966C9B" w14:textId="77777777" w:rsidR="00FE0A69" w:rsidRPr="00677261" w:rsidRDefault="00FE0A69" w:rsidP="006256DB">
      <w:pPr>
        <w:pStyle w:val="ListParagraph"/>
        <w:numPr>
          <w:ilvl w:val="0"/>
          <w:numId w:val="8"/>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30167413" w14:textId="77777777" w:rsidR="0075603E" w:rsidRDefault="0075603E" w:rsidP="00C21A33">
      <w:pPr>
        <w:spacing w:after="0" w:line="240" w:lineRule="auto"/>
        <w:jc w:val="both"/>
        <w:rPr>
          <w:rFonts w:ascii="Calibri" w:hAnsi="Calibri"/>
        </w:rPr>
      </w:pPr>
    </w:p>
    <w:p w14:paraId="6FD161AE" w14:textId="77777777" w:rsidR="00FE0A69" w:rsidRPr="00677261" w:rsidRDefault="00FE0A69" w:rsidP="00C21A33">
      <w:pPr>
        <w:spacing w:after="0" w:line="240" w:lineRule="auto"/>
        <w:jc w:val="both"/>
        <w:rPr>
          <w:rFonts w:ascii="Calibri" w:hAnsi="Calibri"/>
        </w:rPr>
      </w:pPr>
      <w:r w:rsidRPr="00677261">
        <w:rPr>
          <w:rFonts w:ascii="Calibri" w:hAnsi="Calibri"/>
        </w:rPr>
        <w:t>2.  Manufacturers of alloy - components, powders or final products, for a range of industries such as automotive, electrical and electronics, plumbing and building, radiator manufacturing, bearings, brazing, coins, printing, model making, jigging and fixturing, ammunition, dental, ornamental items, toys and jewelry, and for various types of general engineering.</w:t>
      </w:r>
    </w:p>
    <w:p w14:paraId="4E9D3537"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Ashes, drosses, skimmings and runouts from the anode casting melting dross</w:t>
      </w:r>
    </w:p>
    <w:p w14:paraId="000F5321"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Contaminated or waste metal</w:t>
      </w:r>
    </w:p>
    <w:p w14:paraId="66F4CBCA"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Out of specification or contaminated material</w:t>
      </w:r>
    </w:p>
    <w:p w14:paraId="583AE411"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Metallic blocks or items as off-cuts of casting failures</w:t>
      </w:r>
    </w:p>
    <w:p w14:paraId="664C45ED"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Runners and risers from casting processes</w:t>
      </w:r>
    </w:p>
    <w:p w14:paraId="17238891"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Scrap wire, strip, stampings, trimmings, turnings, pieces, cuttings, dust, powder, etc.</w:t>
      </w:r>
    </w:p>
    <w:p w14:paraId="493AD2A1"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Machining, grinding and polishing waste, ball mill fines</w:t>
      </w:r>
    </w:p>
    <w:p w14:paraId="70AF4DEA"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Gas cleaning sludge and dust</w:t>
      </w:r>
    </w:p>
    <w:p w14:paraId="104D0BA3"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Water treatment sludge</w:t>
      </w:r>
    </w:p>
    <w:p w14:paraId="76C428FB"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5E650AEF" w14:textId="77777777" w:rsidR="00FE0A69" w:rsidRPr="00677261" w:rsidRDefault="00FE0A69" w:rsidP="006256DB">
      <w:pPr>
        <w:pStyle w:val="ListParagraph"/>
        <w:numPr>
          <w:ilvl w:val="0"/>
          <w:numId w:val="9"/>
        </w:numPr>
        <w:spacing w:after="0" w:line="240" w:lineRule="auto"/>
        <w:jc w:val="both"/>
        <w:rPr>
          <w:rFonts w:ascii="Calibri" w:hAnsi="Calibri"/>
        </w:rPr>
      </w:pPr>
      <w:r w:rsidRPr="00677261">
        <w:rPr>
          <w:rFonts w:ascii="Calibri" w:hAnsi="Calibri"/>
        </w:rPr>
        <w:t>Copper slags and refractory slags from the copper alloying or other alloying industries.</w:t>
      </w:r>
    </w:p>
    <w:p w14:paraId="686FB7DE" w14:textId="77777777" w:rsidR="0075603E" w:rsidRDefault="0075603E" w:rsidP="00C21A33">
      <w:pPr>
        <w:spacing w:after="0" w:line="240" w:lineRule="auto"/>
        <w:jc w:val="both"/>
        <w:rPr>
          <w:rFonts w:ascii="Calibri" w:hAnsi="Calibri"/>
        </w:rPr>
      </w:pPr>
    </w:p>
    <w:p w14:paraId="65616670" w14:textId="77777777" w:rsidR="00FE0A69" w:rsidRPr="00677261" w:rsidRDefault="00FE0A69" w:rsidP="00C21A33">
      <w:pPr>
        <w:spacing w:after="0" w:line="240" w:lineRule="auto"/>
        <w:jc w:val="both"/>
        <w:rPr>
          <w:rFonts w:ascii="Calibri" w:hAnsi="Calibri"/>
        </w:rPr>
      </w:pPr>
      <w:r w:rsidRPr="00677261">
        <w:rPr>
          <w:rFonts w:ascii="Calibri" w:hAnsi="Calibri"/>
        </w:rPr>
        <w:t>3.  Printed circuit board manufacturers and other industrial solder users of any kind of lead, lead-free, high temperature or other solders</w:t>
      </w:r>
    </w:p>
    <w:p w14:paraId="64A3BAF1"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Solder dross</w:t>
      </w:r>
    </w:p>
    <w:p w14:paraId="78478ABC"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Spent anodes</w:t>
      </w:r>
    </w:p>
    <w:p w14:paraId="6BA250AB"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Return solder products (</w:t>
      </w:r>
      <w:r w:rsidR="00DE140B" w:rsidRPr="00677261">
        <w:rPr>
          <w:rFonts w:ascii="Calibri" w:hAnsi="Calibri"/>
        </w:rPr>
        <w:t>for example,</w:t>
      </w:r>
      <w:r w:rsidRPr="00677261">
        <w:rPr>
          <w:rFonts w:ascii="Calibri" w:hAnsi="Calibri"/>
        </w:rPr>
        <w:t xml:space="preserve"> bar, paste, spheres, preforms, wire)</w:t>
      </w:r>
    </w:p>
    <w:p w14:paraId="4CFDB26C"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Contaminated solder pot material</w:t>
      </w:r>
    </w:p>
    <w:p w14:paraId="3BB2AE47"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Waste solder paste</w:t>
      </w:r>
    </w:p>
    <w:p w14:paraId="50D4B9DA"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Spillings and drippings</w:t>
      </w:r>
    </w:p>
    <w:p w14:paraId="0BEAB4CB" w14:textId="77777777" w:rsidR="00FE0A69" w:rsidRPr="00677261" w:rsidRDefault="00FE0A69" w:rsidP="006256DB">
      <w:pPr>
        <w:pStyle w:val="ListParagraph"/>
        <w:numPr>
          <w:ilvl w:val="0"/>
          <w:numId w:val="10"/>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20EDBDFB" w14:textId="77777777" w:rsidR="0075603E" w:rsidRDefault="0075603E" w:rsidP="00C21A33">
      <w:pPr>
        <w:spacing w:after="0" w:line="240" w:lineRule="auto"/>
        <w:jc w:val="both"/>
        <w:rPr>
          <w:rFonts w:ascii="Calibri" w:hAnsi="Calibri"/>
        </w:rPr>
      </w:pPr>
    </w:p>
    <w:p w14:paraId="462685FE" w14:textId="4F08F7B2" w:rsidR="00FE0A69" w:rsidRPr="00677261" w:rsidRDefault="00FE0A69" w:rsidP="00C21A33">
      <w:pPr>
        <w:spacing w:after="0" w:line="240" w:lineRule="auto"/>
        <w:jc w:val="both"/>
        <w:rPr>
          <w:rFonts w:ascii="Calibri" w:hAnsi="Calibri"/>
        </w:rPr>
      </w:pPr>
      <w:r w:rsidRPr="00677261">
        <w:rPr>
          <w:rFonts w:ascii="Calibri" w:hAnsi="Calibri"/>
        </w:rPr>
        <w:t xml:space="preserve">4.  Users of tin metal or chemicals in the plating industry, </w:t>
      </w:r>
      <w:r w:rsidR="00DE140B" w:rsidRPr="00677261">
        <w:rPr>
          <w:rFonts w:ascii="Calibri" w:hAnsi="Calibri"/>
        </w:rPr>
        <w:t>for example,</w:t>
      </w:r>
      <w:r w:rsidRPr="00677261">
        <w:rPr>
          <w:rFonts w:ascii="Calibri" w:hAnsi="Calibri"/>
        </w:rPr>
        <w:t xml:space="preserve"> manufacture of components for automotive, electrical, electronic, medical and general engineering industries, etch resist material as well as canning and other types of packaging.  Plating may be pure tin or tin alloy coatings such as tin-nickel, tin-zinc, tin-copper, tin-lead or any other combination of materials producing the required final </w:t>
      </w:r>
      <w:r w:rsidRPr="00677261">
        <w:rPr>
          <w:rFonts w:ascii="Calibri" w:hAnsi="Calibri"/>
        </w:rPr>
        <w:lastRenderedPageBreak/>
        <w:t xml:space="preserve">properties.  Tin plating may be applied to almost any other metal alloy, including but not limited to steel and copper and their alloys. </w:t>
      </w:r>
    </w:p>
    <w:p w14:paraId="4EEF4E98" w14:textId="77777777" w:rsidR="00FE0A69" w:rsidRPr="00677261" w:rsidRDefault="00FE0A69" w:rsidP="006256DB">
      <w:pPr>
        <w:pStyle w:val="ListParagraph"/>
        <w:numPr>
          <w:ilvl w:val="0"/>
          <w:numId w:val="11"/>
        </w:numPr>
        <w:spacing w:after="0" w:line="240" w:lineRule="auto"/>
        <w:jc w:val="both"/>
        <w:rPr>
          <w:rFonts w:ascii="Calibri" w:hAnsi="Calibri"/>
        </w:rPr>
      </w:pPr>
      <w:r w:rsidRPr="00677261">
        <w:rPr>
          <w:rFonts w:ascii="Calibri" w:hAnsi="Calibri"/>
        </w:rPr>
        <w:t>Ashes, drosses, skimmings and runouts from the anode casting process</w:t>
      </w:r>
    </w:p>
    <w:p w14:paraId="4DA6F795" w14:textId="77777777" w:rsidR="00FE0A69" w:rsidRPr="00677261" w:rsidRDefault="00FE0A69" w:rsidP="006256DB">
      <w:pPr>
        <w:pStyle w:val="ListParagraph"/>
        <w:numPr>
          <w:ilvl w:val="0"/>
          <w:numId w:val="11"/>
        </w:numPr>
        <w:spacing w:after="0" w:line="240" w:lineRule="auto"/>
        <w:jc w:val="both"/>
        <w:rPr>
          <w:rFonts w:ascii="Calibri" w:hAnsi="Calibri"/>
        </w:rPr>
      </w:pPr>
      <w:r w:rsidRPr="00677261">
        <w:rPr>
          <w:rFonts w:ascii="Calibri" w:hAnsi="Calibri"/>
        </w:rPr>
        <w:t>Spent anodes</w:t>
      </w:r>
    </w:p>
    <w:p w14:paraId="1974EB38" w14:textId="77777777" w:rsidR="00FE0A69" w:rsidRPr="00677261" w:rsidRDefault="00FE0A69" w:rsidP="006256DB">
      <w:pPr>
        <w:pStyle w:val="ListParagraph"/>
        <w:numPr>
          <w:ilvl w:val="0"/>
          <w:numId w:val="11"/>
        </w:numPr>
        <w:spacing w:after="0" w:line="240" w:lineRule="auto"/>
        <w:jc w:val="both"/>
        <w:rPr>
          <w:rFonts w:ascii="Calibri" w:hAnsi="Calibri"/>
        </w:rPr>
      </w:pPr>
      <w:r w:rsidRPr="00677261">
        <w:rPr>
          <w:rFonts w:ascii="Calibri" w:hAnsi="Calibri"/>
        </w:rPr>
        <w:t>Plating sludges from any hydro-metallurgical or electrolytic tinning process</w:t>
      </w:r>
    </w:p>
    <w:p w14:paraId="35707FE3" w14:textId="77777777" w:rsidR="00FE0A69" w:rsidRPr="00677261" w:rsidRDefault="00FE0A69" w:rsidP="006256DB">
      <w:pPr>
        <w:pStyle w:val="ListParagraph"/>
        <w:numPr>
          <w:ilvl w:val="0"/>
          <w:numId w:val="11"/>
        </w:numPr>
        <w:spacing w:after="0" w:line="240" w:lineRule="auto"/>
        <w:jc w:val="both"/>
        <w:rPr>
          <w:rFonts w:ascii="Calibri" w:hAnsi="Calibri"/>
        </w:rPr>
      </w:pPr>
      <w:r w:rsidRPr="00677261">
        <w:rPr>
          <w:rFonts w:ascii="Calibri" w:hAnsi="Calibri"/>
        </w:rPr>
        <w:t>Plated off-cuts or reject items</w:t>
      </w:r>
    </w:p>
    <w:p w14:paraId="5B9E0319" w14:textId="77777777" w:rsidR="0075603E" w:rsidRDefault="0075603E" w:rsidP="00C21A33">
      <w:pPr>
        <w:spacing w:after="0" w:line="240" w:lineRule="auto"/>
        <w:jc w:val="both"/>
        <w:rPr>
          <w:rFonts w:ascii="Calibri" w:hAnsi="Calibri"/>
        </w:rPr>
      </w:pPr>
    </w:p>
    <w:p w14:paraId="37E6F850" w14:textId="77777777" w:rsidR="00FE0A69" w:rsidRPr="00677261" w:rsidRDefault="00FE0A69" w:rsidP="00C21A33">
      <w:pPr>
        <w:spacing w:after="0" w:line="240" w:lineRule="auto"/>
        <w:jc w:val="both"/>
        <w:rPr>
          <w:rFonts w:ascii="Calibri" w:hAnsi="Calibri"/>
        </w:rPr>
      </w:pPr>
      <w:r w:rsidRPr="00677261">
        <w:rPr>
          <w:rFonts w:ascii="Calibri" w:hAnsi="Calibri"/>
        </w:rPr>
        <w:t>5.  Hot tinning and solder dipping operations as well as thermal spray coating processes in general engineering, electrical and electronic and other product manufacture</w:t>
      </w:r>
    </w:p>
    <w:p w14:paraId="32D0EE87" w14:textId="77777777" w:rsidR="00FE0A69" w:rsidRPr="00677261" w:rsidRDefault="00FE0A69" w:rsidP="006256DB">
      <w:pPr>
        <w:pStyle w:val="ListParagraph"/>
        <w:numPr>
          <w:ilvl w:val="0"/>
          <w:numId w:val="12"/>
        </w:numPr>
        <w:spacing w:after="0" w:line="240" w:lineRule="auto"/>
        <w:jc w:val="both"/>
        <w:rPr>
          <w:rFonts w:ascii="Calibri" w:hAnsi="Calibri"/>
        </w:rPr>
      </w:pPr>
      <w:r w:rsidRPr="00677261">
        <w:rPr>
          <w:rFonts w:ascii="Calibri" w:hAnsi="Calibri"/>
        </w:rPr>
        <w:t>Drosses</w:t>
      </w:r>
    </w:p>
    <w:p w14:paraId="145B863D" w14:textId="77777777" w:rsidR="00FE0A69" w:rsidRPr="00677261" w:rsidRDefault="00FE0A69" w:rsidP="006256DB">
      <w:pPr>
        <w:pStyle w:val="ListParagraph"/>
        <w:numPr>
          <w:ilvl w:val="0"/>
          <w:numId w:val="12"/>
        </w:numPr>
        <w:spacing w:after="0" w:line="240" w:lineRule="auto"/>
        <w:jc w:val="both"/>
        <w:rPr>
          <w:rFonts w:ascii="Calibri" w:hAnsi="Calibri"/>
        </w:rPr>
      </w:pPr>
      <w:r w:rsidRPr="00677261">
        <w:rPr>
          <w:rFonts w:ascii="Calibri" w:hAnsi="Calibri"/>
        </w:rPr>
        <w:t>Contaminated metal</w:t>
      </w:r>
    </w:p>
    <w:p w14:paraId="163999CB" w14:textId="77777777" w:rsidR="00FE0A69" w:rsidRPr="00677261" w:rsidRDefault="00FE0A69" w:rsidP="006256DB">
      <w:pPr>
        <w:pStyle w:val="ListParagraph"/>
        <w:numPr>
          <w:ilvl w:val="0"/>
          <w:numId w:val="12"/>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3ACDCD19" w14:textId="77777777" w:rsidR="00FE0A69" w:rsidRPr="00677261" w:rsidRDefault="00FE0A69" w:rsidP="006256DB">
      <w:pPr>
        <w:pStyle w:val="ListParagraph"/>
        <w:numPr>
          <w:ilvl w:val="0"/>
          <w:numId w:val="12"/>
        </w:numPr>
        <w:spacing w:after="0" w:line="240" w:lineRule="auto"/>
        <w:jc w:val="both"/>
        <w:rPr>
          <w:rFonts w:ascii="Calibri" w:hAnsi="Calibri"/>
        </w:rPr>
      </w:pPr>
      <w:r w:rsidRPr="00677261">
        <w:rPr>
          <w:rFonts w:ascii="Calibri" w:hAnsi="Calibri"/>
        </w:rPr>
        <w:t>Overspray</w:t>
      </w:r>
    </w:p>
    <w:p w14:paraId="57E9C9C5" w14:textId="77777777" w:rsidR="0075603E" w:rsidRDefault="0075603E" w:rsidP="00C21A33">
      <w:pPr>
        <w:spacing w:after="0" w:line="240" w:lineRule="auto"/>
        <w:jc w:val="both"/>
        <w:rPr>
          <w:rFonts w:ascii="Calibri" w:hAnsi="Calibri"/>
        </w:rPr>
      </w:pPr>
    </w:p>
    <w:p w14:paraId="04421572" w14:textId="77777777" w:rsidR="00FE0A69" w:rsidRPr="00677261" w:rsidRDefault="00FE0A69" w:rsidP="00C21A33">
      <w:pPr>
        <w:spacing w:after="0" w:line="240" w:lineRule="auto"/>
        <w:jc w:val="both"/>
        <w:rPr>
          <w:rFonts w:ascii="Calibri" w:hAnsi="Calibri"/>
        </w:rPr>
      </w:pPr>
      <w:r w:rsidRPr="00677261">
        <w:rPr>
          <w:rFonts w:ascii="Calibri" w:hAnsi="Calibri"/>
        </w:rPr>
        <w:t>6.  The glass manufacturing, forming, and coating industries using tin metal and/or compounds</w:t>
      </w:r>
    </w:p>
    <w:p w14:paraId="763D7653" w14:textId="77777777" w:rsidR="00FE0A69" w:rsidRPr="00677261" w:rsidRDefault="00FE0A69" w:rsidP="006256DB">
      <w:pPr>
        <w:pStyle w:val="ListParagraph"/>
        <w:numPr>
          <w:ilvl w:val="0"/>
          <w:numId w:val="13"/>
        </w:numPr>
        <w:spacing w:after="0" w:line="240" w:lineRule="auto"/>
        <w:jc w:val="both"/>
        <w:rPr>
          <w:rFonts w:ascii="Calibri" w:hAnsi="Calibri"/>
        </w:rPr>
      </w:pPr>
      <w:r w:rsidRPr="00677261">
        <w:rPr>
          <w:rFonts w:ascii="Calibri" w:hAnsi="Calibri"/>
        </w:rPr>
        <w:t>Metal and drosses from glass float processes</w:t>
      </w:r>
    </w:p>
    <w:p w14:paraId="2EF14C09" w14:textId="77777777" w:rsidR="00FE0A69" w:rsidRPr="00677261" w:rsidRDefault="00FE0A69" w:rsidP="006256DB">
      <w:pPr>
        <w:pStyle w:val="ListParagraph"/>
        <w:numPr>
          <w:ilvl w:val="0"/>
          <w:numId w:val="13"/>
        </w:numPr>
        <w:spacing w:after="0" w:line="240" w:lineRule="auto"/>
        <w:jc w:val="both"/>
        <w:rPr>
          <w:rFonts w:ascii="Calibri" w:hAnsi="Calibri"/>
        </w:rPr>
      </w:pPr>
      <w:r w:rsidRPr="00677261">
        <w:rPr>
          <w:rFonts w:ascii="Calibri" w:hAnsi="Calibri"/>
        </w:rPr>
        <w:t>Metal and drosses from sputtering targets</w:t>
      </w:r>
    </w:p>
    <w:p w14:paraId="79FEAEBC" w14:textId="77777777" w:rsidR="00FE0A69" w:rsidRPr="00677261" w:rsidRDefault="00FE0A69" w:rsidP="006256DB">
      <w:pPr>
        <w:pStyle w:val="ListParagraph"/>
        <w:numPr>
          <w:ilvl w:val="0"/>
          <w:numId w:val="13"/>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3A826EB7" w14:textId="77777777" w:rsidR="00FE0A69" w:rsidRPr="00677261" w:rsidRDefault="00FE0A69" w:rsidP="006256DB">
      <w:pPr>
        <w:pStyle w:val="ListParagraph"/>
        <w:numPr>
          <w:ilvl w:val="0"/>
          <w:numId w:val="13"/>
        </w:numPr>
        <w:spacing w:after="0" w:line="240" w:lineRule="auto"/>
        <w:jc w:val="both"/>
        <w:rPr>
          <w:rFonts w:ascii="Calibri" w:hAnsi="Calibri"/>
        </w:rPr>
      </w:pPr>
      <w:r w:rsidRPr="00677261">
        <w:rPr>
          <w:rFonts w:ascii="Calibri" w:hAnsi="Calibri"/>
        </w:rPr>
        <w:t>Spent sputtering targets</w:t>
      </w:r>
    </w:p>
    <w:p w14:paraId="3EEE75CA" w14:textId="77777777" w:rsidR="0075603E" w:rsidRDefault="0075603E" w:rsidP="00C21A33">
      <w:pPr>
        <w:spacing w:after="0" w:line="240" w:lineRule="auto"/>
        <w:jc w:val="both"/>
        <w:rPr>
          <w:rFonts w:ascii="Calibri" w:hAnsi="Calibri"/>
        </w:rPr>
      </w:pPr>
    </w:p>
    <w:p w14:paraId="38DE253E" w14:textId="77777777" w:rsidR="00FE0A69" w:rsidRPr="00677261" w:rsidRDefault="00FE0A69" w:rsidP="00C21A33">
      <w:pPr>
        <w:spacing w:after="0" w:line="240" w:lineRule="auto"/>
        <w:jc w:val="both"/>
        <w:rPr>
          <w:rFonts w:ascii="Calibri" w:hAnsi="Calibri"/>
        </w:rPr>
      </w:pPr>
      <w:r w:rsidRPr="00677261">
        <w:rPr>
          <w:rFonts w:ascii="Calibri" w:hAnsi="Calibri"/>
        </w:rPr>
        <w:t>7.  Manufacturers and users of tin chemicals in a very wide range of industries such as brake pads, fire retardants, foams, polymers, rubbers, ceramic pigments, glazes, conductive films, crystal glasses, mirrors, textiles, wood and other preservatives, food additives, soaps, toothpastes and cosmetics, veterinary products, cements, mercury sorbants, fluxes and anti-sludge agents</w:t>
      </w:r>
    </w:p>
    <w:p w14:paraId="3D478F4B" w14:textId="77777777" w:rsidR="00FE0A69" w:rsidRPr="00677261" w:rsidRDefault="00FE0A69" w:rsidP="006256DB">
      <w:pPr>
        <w:pStyle w:val="ListParagraph"/>
        <w:numPr>
          <w:ilvl w:val="0"/>
          <w:numId w:val="14"/>
        </w:numPr>
        <w:spacing w:after="0" w:line="240" w:lineRule="auto"/>
        <w:jc w:val="both"/>
        <w:rPr>
          <w:rFonts w:ascii="Calibri" w:hAnsi="Calibri"/>
        </w:rPr>
      </w:pPr>
      <w:r w:rsidRPr="00677261">
        <w:rPr>
          <w:rFonts w:ascii="Calibri" w:hAnsi="Calibri"/>
        </w:rPr>
        <w:t>Tinny sludge from tin chemical or pharmaceutical manufacturing processes</w:t>
      </w:r>
    </w:p>
    <w:p w14:paraId="7D510CEE" w14:textId="77777777" w:rsidR="00FE0A69" w:rsidRPr="00677261" w:rsidRDefault="00FE0A69" w:rsidP="006256DB">
      <w:pPr>
        <w:pStyle w:val="ListParagraph"/>
        <w:numPr>
          <w:ilvl w:val="0"/>
          <w:numId w:val="14"/>
        </w:numPr>
        <w:spacing w:after="0" w:line="240" w:lineRule="auto"/>
        <w:jc w:val="both"/>
        <w:rPr>
          <w:rFonts w:ascii="Calibri" w:hAnsi="Calibri"/>
        </w:rPr>
      </w:pPr>
      <w:r w:rsidRPr="00677261">
        <w:rPr>
          <w:rFonts w:ascii="Calibri" w:hAnsi="Calibri"/>
        </w:rPr>
        <w:t>Other waste or reject tin containing materials</w:t>
      </w:r>
    </w:p>
    <w:p w14:paraId="2969FAC0" w14:textId="77777777" w:rsidR="00FE0A69" w:rsidRPr="00677261" w:rsidRDefault="00FE0A69" w:rsidP="006256DB">
      <w:pPr>
        <w:pStyle w:val="ListParagraph"/>
        <w:numPr>
          <w:ilvl w:val="0"/>
          <w:numId w:val="14"/>
        </w:numPr>
        <w:spacing w:after="0" w:line="240" w:lineRule="auto"/>
        <w:jc w:val="both"/>
        <w:rPr>
          <w:rFonts w:ascii="Calibri" w:hAnsi="Calibri"/>
        </w:rPr>
      </w:pPr>
      <w:r w:rsidRPr="00677261">
        <w:rPr>
          <w:rFonts w:ascii="Calibri" w:hAnsi="Calibri"/>
        </w:rPr>
        <w:t>Any other type of residue, drosses, skimmings as a byproduct of production</w:t>
      </w:r>
    </w:p>
    <w:p w14:paraId="61C56DFE" w14:textId="77777777" w:rsidR="00FE0A69" w:rsidRPr="00677261" w:rsidRDefault="00FE0A69" w:rsidP="006256DB">
      <w:pPr>
        <w:pStyle w:val="ListParagraph"/>
        <w:numPr>
          <w:ilvl w:val="0"/>
          <w:numId w:val="14"/>
        </w:numPr>
        <w:spacing w:after="0" w:line="240" w:lineRule="auto"/>
        <w:jc w:val="both"/>
        <w:rPr>
          <w:rFonts w:ascii="Calibri" w:hAnsi="Calibri"/>
        </w:rPr>
      </w:pPr>
      <w:r w:rsidRPr="00677261">
        <w:rPr>
          <w:rFonts w:ascii="Calibri" w:hAnsi="Calibri"/>
        </w:rPr>
        <w:t>Filter dust or similar materials (</w:t>
      </w:r>
      <w:r w:rsidR="00DE140B" w:rsidRPr="00677261">
        <w:rPr>
          <w:rFonts w:ascii="Calibri" w:hAnsi="Calibri"/>
        </w:rPr>
        <w:t>for example,</w:t>
      </w:r>
      <w:r w:rsidRPr="00677261">
        <w:rPr>
          <w:rFonts w:ascii="Calibri" w:hAnsi="Calibri"/>
        </w:rPr>
        <w:t xml:space="preserve"> tin oxides)</w:t>
      </w:r>
    </w:p>
    <w:p w14:paraId="5D299D73" w14:textId="77777777" w:rsidR="0075603E" w:rsidRDefault="0075603E" w:rsidP="00C21A33">
      <w:pPr>
        <w:spacing w:after="0" w:line="240" w:lineRule="auto"/>
        <w:jc w:val="both"/>
        <w:rPr>
          <w:rFonts w:ascii="Calibri" w:hAnsi="Calibri"/>
        </w:rPr>
      </w:pPr>
    </w:p>
    <w:p w14:paraId="6E1985BC" w14:textId="77777777" w:rsidR="00FE0A69" w:rsidRPr="00677261" w:rsidRDefault="00FE0A69" w:rsidP="00C21A33">
      <w:pPr>
        <w:spacing w:after="0" w:line="240" w:lineRule="auto"/>
        <w:jc w:val="both"/>
        <w:rPr>
          <w:rFonts w:ascii="Calibri" w:hAnsi="Calibri"/>
        </w:rPr>
      </w:pPr>
      <w:r w:rsidRPr="00677261">
        <w:rPr>
          <w:rFonts w:ascii="Calibri" w:hAnsi="Calibri"/>
        </w:rPr>
        <w:t>8.  Tin or tin compounds used as catalysts for polymerization, alkylation, esterification, oxidation, hydrogenation and use in gas sensors, as well as reducing agents activators, sensitizing agents, passivation, and stabilizers during a manufacturing process.</w:t>
      </w:r>
    </w:p>
    <w:p w14:paraId="642C5CAE" w14:textId="77777777" w:rsidR="00FE0A69" w:rsidRPr="00677261" w:rsidRDefault="00FE0A69" w:rsidP="006256DB">
      <w:pPr>
        <w:pStyle w:val="ListParagraph"/>
        <w:numPr>
          <w:ilvl w:val="0"/>
          <w:numId w:val="15"/>
        </w:numPr>
        <w:spacing w:after="0" w:line="240" w:lineRule="auto"/>
        <w:jc w:val="both"/>
        <w:rPr>
          <w:rFonts w:ascii="Calibri" w:hAnsi="Calibri"/>
        </w:rPr>
      </w:pPr>
      <w:r w:rsidRPr="00677261">
        <w:rPr>
          <w:rFonts w:ascii="Calibri" w:hAnsi="Calibri"/>
        </w:rPr>
        <w:t>Tinny sludge from manufacturing processes</w:t>
      </w:r>
    </w:p>
    <w:p w14:paraId="14EC61E5" w14:textId="77777777" w:rsidR="00FE0A69" w:rsidRPr="00677261" w:rsidRDefault="00FE0A69" w:rsidP="006256DB">
      <w:pPr>
        <w:pStyle w:val="ListParagraph"/>
        <w:numPr>
          <w:ilvl w:val="0"/>
          <w:numId w:val="15"/>
        </w:numPr>
        <w:spacing w:after="0" w:line="240" w:lineRule="auto"/>
        <w:jc w:val="both"/>
        <w:rPr>
          <w:rFonts w:ascii="Calibri" w:hAnsi="Calibri"/>
        </w:rPr>
      </w:pPr>
      <w:r w:rsidRPr="00677261">
        <w:rPr>
          <w:rFonts w:ascii="Calibri" w:hAnsi="Calibri"/>
        </w:rPr>
        <w:t>Other waste or reject tin containing materials</w:t>
      </w:r>
    </w:p>
    <w:p w14:paraId="4B744A22" w14:textId="77777777" w:rsidR="00FE0A69" w:rsidRPr="00677261" w:rsidRDefault="00FE0A69" w:rsidP="006256DB">
      <w:pPr>
        <w:pStyle w:val="ListParagraph"/>
        <w:numPr>
          <w:ilvl w:val="0"/>
          <w:numId w:val="15"/>
        </w:numPr>
        <w:spacing w:after="0" w:line="240" w:lineRule="auto"/>
        <w:jc w:val="both"/>
        <w:rPr>
          <w:rFonts w:ascii="Calibri" w:hAnsi="Calibri"/>
        </w:rPr>
      </w:pPr>
      <w:r w:rsidRPr="00677261">
        <w:rPr>
          <w:rFonts w:ascii="Calibri" w:hAnsi="Calibri"/>
        </w:rPr>
        <w:t>Any other type of residue, drosses, skimmings as a byproduct of production</w:t>
      </w:r>
    </w:p>
    <w:p w14:paraId="208A212B" w14:textId="77777777" w:rsidR="0075603E" w:rsidRDefault="0075603E" w:rsidP="00C21A33">
      <w:pPr>
        <w:spacing w:after="0" w:line="240" w:lineRule="auto"/>
        <w:jc w:val="both"/>
        <w:rPr>
          <w:rFonts w:ascii="Calibri" w:hAnsi="Calibri"/>
        </w:rPr>
      </w:pPr>
    </w:p>
    <w:p w14:paraId="474CE02E" w14:textId="77777777" w:rsidR="00FE0A69" w:rsidRPr="00677261" w:rsidRDefault="00FE0A69" w:rsidP="00C21A33">
      <w:pPr>
        <w:spacing w:after="0" w:line="240" w:lineRule="auto"/>
        <w:jc w:val="both"/>
        <w:rPr>
          <w:rFonts w:ascii="Calibri" w:hAnsi="Calibri"/>
        </w:rPr>
      </w:pPr>
      <w:r w:rsidRPr="00677261">
        <w:rPr>
          <w:rFonts w:ascii="Calibri" w:hAnsi="Calibri"/>
        </w:rPr>
        <w:t xml:space="preserve">9.  De-tinning operations for recovery of tin from any type of plated or coated general items, </w:t>
      </w:r>
      <w:r w:rsidR="00DE140B" w:rsidRPr="00677261">
        <w:rPr>
          <w:rFonts w:ascii="Calibri" w:hAnsi="Calibri"/>
        </w:rPr>
        <w:t>for example,</w:t>
      </w:r>
      <w:r w:rsidRPr="00677261">
        <w:rPr>
          <w:rFonts w:ascii="Calibri" w:hAnsi="Calibri"/>
        </w:rPr>
        <w:t xml:space="preserve"> tin-coated copper alloy or steel</w:t>
      </w:r>
    </w:p>
    <w:p w14:paraId="6B4118C7"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Tin bearing sponge</w:t>
      </w:r>
    </w:p>
    <w:p w14:paraId="6E2720AC" w14:textId="77777777" w:rsidR="0075603E" w:rsidRDefault="0075603E" w:rsidP="00C21A33">
      <w:pPr>
        <w:spacing w:after="0" w:line="240" w:lineRule="auto"/>
        <w:jc w:val="both"/>
        <w:rPr>
          <w:rFonts w:ascii="Calibri" w:hAnsi="Calibri"/>
        </w:rPr>
      </w:pPr>
    </w:p>
    <w:p w14:paraId="3B6082DA" w14:textId="77777777" w:rsidR="00FE0A69" w:rsidRPr="00677261" w:rsidRDefault="00FE0A69" w:rsidP="00C21A33">
      <w:pPr>
        <w:spacing w:after="0" w:line="240" w:lineRule="auto"/>
        <w:jc w:val="both"/>
        <w:rPr>
          <w:rFonts w:ascii="Calibri" w:hAnsi="Calibri"/>
        </w:rPr>
      </w:pPr>
      <w:r w:rsidRPr="00677261">
        <w:rPr>
          <w:rFonts w:ascii="Calibri" w:hAnsi="Calibri"/>
        </w:rPr>
        <w:t>10.  Operators reclaiming any tin containing metals and items manufactured from them, such as organ pipes, wires, pewter plates and vessels, costume jewelry, candlesticks, light fittings, clocks, kilt pins</w:t>
      </w:r>
    </w:p>
    <w:p w14:paraId="0088C914"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All forms of materials</w:t>
      </w:r>
    </w:p>
    <w:p w14:paraId="6E1D4D35" w14:textId="77777777" w:rsidR="0075603E" w:rsidRDefault="0075603E" w:rsidP="00C21A33">
      <w:pPr>
        <w:spacing w:after="0" w:line="240" w:lineRule="auto"/>
        <w:jc w:val="both"/>
        <w:rPr>
          <w:rFonts w:ascii="Calibri" w:hAnsi="Calibri"/>
        </w:rPr>
      </w:pPr>
    </w:p>
    <w:p w14:paraId="1A96BC9D" w14:textId="77777777" w:rsidR="00FE0A69" w:rsidRPr="00677261" w:rsidRDefault="00FE0A69" w:rsidP="00C21A33">
      <w:pPr>
        <w:spacing w:after="0" w:line="240" w:lineRule="auto"/>
        <w:jc w:val="both"/>
        <w:rPr>
          <w:rFonts w:ascii="Calibri" w:hAnsi="Calibri"/>
        </w:rPr>
      </w:pPr>
      <w:r w:rsidRPr="00677261">
        <w:rPr>
          <w:rFonts w:ascii="Calibri" w:hAnsi="Calibri"/>
        </w:rPr>
        <w:t>11.  Copper recovery operations using pyro-metallurgical and/or other relevant processes</w:t>
      </w:r>
    </w:p>
    <w:p w14:paraId="23CE9D4B"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All forms of materials, including copper slag or dross</w:t>
      </w:r>
    </w:p>
    <w:p w14:paraId="7527EBA7" w14:textId="77777777" w:rsidR="0075603E" w:rsidRDefault="0075603E" w:rsidP="00C21A33">
      <w:pPr>
        <w:spacing w:after="0" w:line="240" w:lineRule="auto"/>
        <w:jc w:val="both"/>
        <w:rPr>
          <w:rFonts w:ascii="Calibri" w:hAnsi="Calibri"/>
        </w:rPr>
      </w:pPr>
    </w:p>
    <w:p w14:paraId="48750573" w14:textId="5C513F21" w:rsidR="00FE0A69" w:rsidRPr="00677261" w:rsidRDefault="00FE0A69" w:rsidP="00C21A33">
      <w:pPr>
        <w:spacing w:after="0" w:line="240" w:lineRule="auto"/>
        <w:jc w:val="both"/>
        <w:rPr>
          <w:rFonts w:ascii="Calibri" w:hAnsi="Calibri"/>
        </w:rPr>
      </w:pPr>
      <w:r w:rsidRPr="00677261">
        <w:rPr>
          <w:rFonts w:ascii="Calibri" w:hAnsi="Calibri"/>
        </w:rPr>
        <w:t xml:space="preserve">12.  Lead refiners or similar processors recovering tin as drosses, stannates and other materials from, </w:t>
      </w:r>
      <w:r w:rsidR="00DE140B" w:rsidRPr="00677261">
        <w:rPr>
          <w:rFonts w:ascii="Calibri" w:hAnsi="Calibri"/>
        </w:rPr>
        <w:t>for example,</w:t>
      </w:r>
      <w:r w:rsidR="00797885">
        <w:rPr>
          <w:rFonts w:ascii="Calibri" w:hAnsi="Calibri"/>
        </w:rPr>
        <w:t xml:space="preserve"> </w:t>
      </w:r>
      <w:r w:rsidRPr="00677261">
        <w:rPr>
          <w:rFonts w:ascii="Calibri" w:hAnsi="Calibri"/>
        </w:rPr>
        <w:t>battery and other lead based alloys</w:t>
      </w:r>
    </w:p>
    <w:p w14:paraId="4C5EDBA4"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All forms of materials, including lead slag or dross</w:t>
      </w:r>
    </w:p>
    <w:p w14:paraId="17885A2F" w14:textId="77777777" w:rsidR="0075603E" w:rsidRDefault="0075603E" w:rsidP="00C21A33">
      <w:pPr>
        <w:spacing w:after="0" w:line="240" w:lineRule="auto"/>
        <w:jc w:val="both"/>
        <w:rPr>
          <w:rFonts w:ascii="Calibri" w:hAnsi="Calibri"/>
        </w:rPr>
      </w:pPr>
    </w:p>
    <w:p w14:paraId="6E1CF00D" w14:textId="77777777" w:rsidR="00FE0A69" w:rsidRPr="00677261" w:rsidRDefault="00FE0A69" w:rsidP="00C21A33">
      <w:pPr>
        <w:spacing w:after="0" w:line="240" w:lineRule="auto"/>
        <w:jc w:val="both"/>
        <w:rPr>
          <w:rFonts w:ascii="Calibri" w:hAnsi="Calibri"/>
        </w:rPr>
      </w:pPr>
      <w:r w:rsidRPr="00677261">
        <w:rPr>
          <w:rFonts w:ascii="Calibri" w:hAnsi="Calibri"/>
        </w:rPr>
        <w:t xml:space="preserve">13.  Recovery of end of life scrap and other wastes from any semi-finished or final products related to the above processes, </w:t>
      </w:r>
      <w:r w:rsidR="00DE140B" w:rsidRPr="00677261">
        <w:rPr>
          <w:rFonts w:ascii="Calibri" w:hAnsi="Calibri"/>
        </w:rPr>
        <w:t>for example,</w:t>
      </w:r>
      <w:r w:rsidRPr="00677261">
        <w:rPr>
          <w:rFonts w:ascii="Calibri" w:hAnsi="Calibri"/>
        </w:rPr>
        <w:t xml:space="preserve"> electrical or electronic equipment, automobiles, heat exchangers, plumbing, ships, aircraft, packaging, building demolition, infrastructure replacement and any consumer product</w:t>
      </w:r>
    </w:p>
    <w:p w14:paraId="67321BE1"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All forms of materials, which might include  any kind of metal process arising from these types of non-smelting production facilities</w:t>
      </w:r>
    </w:p>
    <w:p w14:paraId="64F881EE" w14:textId="77777777" w:rsidR="0075603E" w:rsidRDefault="0075603E" w:rsidP="00C21A33">
      <w:pPr>
        <w:spacing w:after="0" w:line="240" w:lineRule="auto"/>
        <w:jc w:val="both"/>
        <w:rPr>
          <w:rFonts w:ascii="Calibri" w:hAnsi="Calibri"/>
        </w:rPr>
      </w:pPr>
    </w:p>
    <w:p w14:paraId="08647C01" w14:textId="77777777" w:rsidR="00FE0A69" w:rsidRPr="00677261" w:rsidRDefault="00FE0A69" w:rsidP="00C21A33">
      <w:pPr>
        <w:spacing w:after="0" w:line="240" w:lineRule="auto"/>
        <w:jc w:val="both"/>
        <w:rPr>
          <w:rFonts w:ascii="Calibri" w:hAnsi="Calibri"/>
        </w:rPr>
      </w:pPr>
      <w:r w:rsidRPr="00677261">
        <w:rPr>
          <w:rFonts w:ascii="Calibri" w:hAnsi="Calibri"/>
        </w:rPr>
        <w:t>14.  Recovery of end of life engineering components of tin compounds and minerals, such as tin oxide bricks</w:t>
      </w:r>
    </w:p>
    <w:p w14:paraId="11F5F01B" w14:textId="77777777" w:rsidR="00FE0A69" w:rsidRPr="00677261" w:rsidRDefault="00FE0A69" w:rsidP="006256DB">
      <w:pPr>
        <w:pStyle w:val="ListParagraph"/>
        <w:numPr>
          <w:ilvl w:val="0"/>
          <w:numId w:val="16"/>
        </w:numPr>
        <w:spacing w:after="0" w:line="240" w:lineRule="auto"/>
        <w:jc w:val="both"/>
        <w:rPr>
          <w:rFonts w:ascii="Calibri" w:hAnsi="Calibri"/>
        </w:rPr>
      </w:pPr>
      <w:r w:rsidRPr="00677261">
        <w:rPr>
          <w:rFonts w:ascii="Calibri" w:hAnsi="Calibri"/>
        </w:rPr>
        <w:t>All forms of materials</w:t>
      </w:r>
    </w:p>
    <w:p w14:paraId="2C9D84E4" w14:textId="77777777" w:rsidR="0075603E" w:rsidRDefault="0075603E" w:rsidP="00C21A33">
      <w:pPr>
        <w:spacing w:after="0" w:line="240" w:lineRule="auto"/>
        <w:jc w:val="both"/>
        <w:rPr>
          <w:rFonts w:ascii="Calibri" w:hAnsi="Calibri"/>
        </w:rPr>
      </w:pPr>
    </w:p>
    <w:p w14:paraId="23090910" w14:textId="77777777" w:rsidR="00FE0A69" w:rsidRPr="00677261" w:rsidRDefault="00FE0A69" w:rsidP="00C21A33">
      <w:pPr>
        <w:spacing w:after="0" w:line="240" w:lineRule="auto"/>
        <w:jc w:val="both"/>
        <w:rPr>
          <w:rFonts w:ascii="Calibri" w:hAnsi="Calibri"/>
        </w:rPr>
      </w:pPr>
      <w:r w:rsidRPr="00677261">
        <w:rPr>
          <w:rFonts w:ascii="Calibri" w:hAnsi="Calibri"/>
        </w:rPr>
        <w:t>Any forms of tin which have been extracted, smelted and then used for their primary purpose and are no longer used for such purpose are capable of being recycled.  Tin containing secondary materials suitable for recovery may arise from practically any type of metal, polymer, ceramic, glass, rubber, chemical production, use or recovery plant as well as numerous types of industrial and consumer products.</w:t>
      </w:r>
    </w:p>
    <w:p w14:paraId="31FFFB37" w14:textId="77777777" w:rsidR="0075603E" w:rsidRDefault="0075603E" w:rsidP="00C21A33">
      <w:pPr>
        <w:spacing w:after="0" w:line="240" w:lineRule="auto"/>
        <w:jc w:val="both"/>
        <w:rPr>
          <w:rFonts w:ascii="Calibri" w:hAnsi="Calibri"/>
        </w:rPr>
      </w:pPr>
    </w:p>
    <w:p w14:paraId="2CAD68B4" w14:textId="77777777" w:rsidR="00FE0A69" w:rsidRPr="00677261" w:rsidRDefault="00FE0A69" w:rsidP="00C21A33">
      <w:pPr>
        <w:spacing w:after="0" w:line="240" w:lineRule="auto"/>
        <w:jc w:val="both"/>
        <w:rPr>
          <w:rFonts w:ascii="Calibri" w:hAnsi="Calibri"/>
        </w:rPr>
      </w:pPr>
      <w:r w:rsidRPr="00677261">
        <w:rPr>
          <w:rFonts w:ascii="Calibri" w:hAnsi="Calibri"/>
        </w:rPr>
        <w:t>Note that residues such as ashes, drosses, skimmings and other forms of similar material mentioned above may be 100% oxidic, 100% metallic or any combination of the two, with or without organic contamination or moisture.</w:t>
      </w:r>
    </w:p>
    <w:p w14:paraId="3078BB88" w14:textId="00B97682" w:rsidR="00B570DC" w:rsidRPr="00677261" w:rsidRDefault="00B570DC" w:rsidP="00C21A33">
      <w:pPr>
        <w:spacing w:after="0" w:line="240" w:lineRule="auto"/>
        <w:jc w:val="both"/>
        <w:rPr>
          <w:rFonts w:ascii="Calibri" w:hAnsi="Calibri"/>
        </w:rPr>
      </w:pPr>
      <w:r w:rsidRPr="00677261">
        <w:rPr>
          <w:rFonts w:ascii="Calibri" w:hAnsi="Calibri"/>
        </w:rPr>
        <w:br w:type="page"/>
      </w:r>
    </w:p>
    <w:p w14:paraId="62BE48E2" w14:textId="7443BD67" w:rsidR="00345573" w:rsidRPr="00345573" w:rsidRDefault="009C6045" w:rsidP="00C21A33">
      <w:pPr>
        <w:pStyle w:val="Heading2"/>
        <w:numPr>
          <w:ilvl w:val="0"/>
          <w:numId w:val="0"/>
        </w:numPr>
        <w:jc w:val="both"/>
      </w:pPr>
      <w:bookmarkStart w:id="47" w:name="_Toc315084490"/>
      <w:bookmarkStart w:id="48" w:name="_Toc450308539"/>
      <w:r>
        <w:lastRenderedPageBreak/>
        <w:t xml:space="preserve">Annex V: </w:t>
      </w:r>
      <w:r w:rsidR="00F939A4">
        <w:t xml:space="preserve">Tantalum </w:t>
      </w:r>
      <w:bookmarkEnd w:id="47"/>
      <w:r w:rsidR="00797885">
        <w:t xml:space="preserve">Company and </w:t>
      </w:r>
      <w:r>
        <w:t xml:space="preserve">Material </w:t>
      </w:r>
      <w:r w:rsidR="00797885">
        <w:t>Types</w:t>
      </w:r>
      <w:bookmarkEnd w:id="48"/>
    </w:p>
    <w:p w14:paraId="1A548F48" w14:textId="77777777" w:rsidR="00D037D6" w:rsidRDefault="00D037D6" w:rsidP="00C21A33">
      <w:pPr>
        <w:spacing w:after="0" w:line="240" w:lineRule="auto"/>
        <w:jc w:val="both"/>
      </w:pPr>
    </w:p>
    <w:p w14:paraId="13969C95" w14:textId="7E5BA921" w:rsidR="00FE0A69" w:rsidRDefault="009C6045" w:rsidP="00C21A33">
      <w:pPr>
        <w:spacing w:after="0" w:line="240" w:lineRule="auto"/>
        <w:jc w:val="both"/>
      </w:pPr>
      <w:r w:rsidRPr="009C6045">
        <w:rPr>
          <w:b/>
        </w:rPr>
        <w:t>S</w:t>
      </w:r>
      <w:r w:rsidR="00FE0A69" w:rsidRPr="009C6045">
        <w:rPr>
          <w:b/>
        </w:rPr>
        <w:t xml:space="preserve">econdary tantalum-containing </w:t>
      </w:r>
      <w:r w:rsidRPr="009C6045">
        <w:rPr>
          <w:b/>
        </w:rPr>
        <w:t>material</w:t>
      </w:r>
      <w:r>
        <w:t xml:space="preserve"> is generally </w:t>
      </w:r>
      <w:r w:rsidR="00FE0A69">
        <w:t>reclaimed from end-user products, or post-consumer, such as:</w:t>
      </w:r>
    </w:p>
    <w:p w14:paraId="1401B5C8" w14:textId="77777777" w:rsidR="00FE0A69" w:rsidRDefault="00FE0A69" w:rsidP="006256DB">
      <w:pPr>
        <w:pStyle w:val="ListParagraph"/>
        <w:numPr>
          <w:ilvl w:val="0"/>
          <w:numId w:val="16"/>
        </w:numPr>
        <w:spacing w:after="0" w:line="240" w:lineRule="auto"/>
        <w:jc w:val="both"/>
      </w:pPr>
      <w:r>
        <w:t>Capacitors, vacuum and electron tubes, light bulbs, electrodes, watches</w:t>
      </w:r>
    </w:p>
    <w:p w14:paraId="20A76F3B" w14:textId="77777777" w:rsidR="00FE0A69" w:rsidRDefault="00FE0A69" w:rsidP="006256DB">
      <w:pPr>
        <w:pStyle w:val="ListParagraph"/>
        <w:numPr>
          <w:ilvl w:val="0"/>
          <w:numId w:val="16"/>
        </w:numPr>
        <w:spacing w:after="0" w:line="240" w:lineRule="auto"/>
        <w:jc w:val="both"/>
      </w:pPr>
      <w:r>
        <w:t>Sputter targets, furnace parts, coating overspray</w:t>
      </w:r>
    </w:p>
    <w:p w14:paraId="5262FF67" w14:textId="77777777" w:rsidR="00FE0A69" w:rsidRDefault="00FE0A69" w:rsidP="006256DB">
      <w:pPr>
        <w:pStyle w:val="ListParagraph"/>
        <w:numPr>
          <w:ilvl w:val="0"/>
          <w:numId w:val="16"/>
        </w:numPr>
        <w:spacing w:after="0" w:line="240" w:lineRule="auto"/>
        <w:jc w:val="both"/>
      </w:pPr>
      <w:r>
        <w:t>Chemical processing equipment such as valves, pipes, tanks, heat exchange coils and heating elements</w:t>
      </w:r>
    </w:p>
    <w:p w14:paraId="3AECEB82" w14:textId="77777777" w:rsidR="00FE0A69" w:rsidRDefault="00FE0A69" w:rsidP="006256DB">
      <w:pPr>
        <w:pStyle w:val="ListParagraph"/>
        <w:numPr>
          <w:ilvl w:val="0"/>
          <w:numId w:val="16"/>
        </w:numPr>
        <w:spacing w:after="0" w:line="240" w:lineRule="auto"/>
        <w:jc w:val="both"/>
      </w:pPr>
      <w:r>
        <w:t>Metal wire, sheet, foil, tubes and pipes</w:t>
      </w:r>
    </w:p>
    <w:p w14:paraId="2E13B2F1" w14:textId="77777777" w:rsidR="00FE0A69" w:rsidRDefault="00FE0A69" w:rsidP="006256DB">
      <w:pPr>
        <w:pStyle w:val="ListParagraph"/>
        <w:numPr>
          <w:ilvl w:val="0"/>
          <w:numId w:val="16"/>
        </w:numPr>
        <w:spacing w:after="0" w:line="240" w:lineRule="auto"/>
        <w:jc w:val="both"/>
      </w:pPr>
      <w:r>
        <w:t>Super alloys in jet engines and gas turbine components such as blades and vanes</w:t>
      </w:r>
    </w:p>
    <w:p w14:paraId="44C4A3CA" w14:textId="77777777" w:rsidR="00FE0A69" w:rsidRDefault="00FE0A69" w:rsidP="006256DB">
      <w:pPr>
        <w:pStyle w:val="ListParagraph"/>
        <w:numPr>
          <w:ilvl w:val="0"/>
          <w:numId w:val="16"/>
        </w:numPr>
        <w:spacing w:after="0" w:line="240" w:lineRule="auto"/>
        <w:jc w:val="both"/>
      </w:pPr>
      <w:r>
        <w:t>Carbide tools, drill bits, drilling chips</w:t>
      </w:r>
    </w:p>
    <w:p w14:paraId="46CC46DD" w14:textId="77777777" w:rsidR="00FE0A69" w:rsidRDefault="00FE0A69" w:rsidP="006256DB">
      <w:pPr>
        <w:pStyle w:val="ListParagraph"/>
        <w:numPr>
          <w:ilvl w:val="0"/>
          <w:numId w:val="16"/>
        </w:numPr>
        <w:spacing w:after="0" w:line="240" w:lineRule="auto"/>
        <w:jc w:val="both"/>
      </w:pPr>
      <w:r>
        <w:t>Camera lenses, optical lenses</w:t>
      </w:r>
    </w:p>
    <w:p w14:paraId="25C754E5" w14:textId="77777777" w:rsidR="00FE0A69" w:rsidRDefault="00FE0A69" w:rsidP="006256DB">
      <w:pPr>
        <w:pStyle w:val="ListParagraph"/>
        <w:numPr>
          <w:ilvl w:val="0"/>
          <w:numId w:val="16"/>
        </w:numPr>
        <w:spacing w:after="0" w:line="240" w:lineRule="auto"/>
        <w:jc w:val="both"/>
      </w:pPr>
      <w:r>
        <w:t>Neutron shielding components from nuclear power applications</w:t>
      </w:r>
    </w:p>
    <w:p w14:paraId="6B10890A" w14:textId="77777777" w:rsidR="00FE0A69" w:rsidRDefault="00FE0A69" w:rsidP="006256DB">
      <w:pPr>
        <w:pStyle w:val="ListParagraph"/>
        <w:numPr>
          <w:ilvl w:val="0"/>
          <w:numId w:val="16"/>
        </w:numPr>
        <w:spacing w:after="0" w:line="240" w:lineRule="auto"/>
        <w:jc w:val="both"/>
      </w:pPr>
      <w:r>
        <w:t>Neutron targets in cyclotrons</w:t>
      </w:r>
    </w:p>
    <w:p w14:paraId="74663925" w14:textId="77777777" w:rsidR="00FE0A69" w:rsidRDefault="00FE0A69" w:rsidP="006256DB">
      <w:pPr>
        <w:pStyle w:val="ListParagraph"/>
        <w:numPr>
          <w:ilvl w:val="0"/>
          <w:numId w:val="16"/>
        </w:numPr>
        <w:spacing w:after="0" w:line="240" w:lineRule="auto"/>
        <w:jc w:val="both"/>
      </w:pPr>
      <w:r>
        <w:t>Penetrator component in missile warheads</w:t>
      </w:r>
    </w:p>
    <w:p w14:paraId="10AB2BAB" w14:textId="77777777" w:rsidR="00FE0A69" w:rsidRDefault="00FE0A69" w:rsidP="006256DB">
      <w:pPr>
        <w:pStyle w:val="ListParagraph"/>
        <w:numPr>
          <w:ilvl w:val="0"/>
          <w:numId w:val="16"/>
        </w:numPr>
        <w:spacing w:after="0" w:line="240" w:lineRule="auto"/>
        <w:jc w:val="both"/>
      </w:pPr>
      <w:r>
        <w:t>Orthopedic implants, medical tools</w:t>
      </w:r>
    </w:p>
    <w:p w14:paraId="149526F1" w14:textId="4CF9DEE9" w:rsidR="00A966A9" w:rsidRDefault="00FE0A69" w:rsidP="006256DB">
      <w:pPr>
        <w:pStyle w:val="ListParagraph"/>
        <w:numPr>
          <w:ilvl w:val="0"/>
          <w:numId w:val="16"/>
        </w:numPr>
        <w:spacing w:after="0" w:line="240" w:lineRule="auto"/>
        <w:jc w:val="both"/>
      </w:pPr>
      <w:r>
        <w:t>Excess cuttings, spills and rejects from the above manufacturing (in the form of whole or partial components, offcuts, stampings, metal turnings, powder, and sludge)</w:t>
      </w:r>
    </w:p>
    <w:p w14:paraId="0E94446E" w14:textId="77777777" w:rsidR="00A966A9" w:rsidRPr="009C6045" w:rsidRDefault="00A966A9" w:rsidP="00C21A33">
      <w:pPr>
        <w:pStyle w:val="NoSpacing"/>
        <w:jc w:val="both"/>
      </w:pPr>
    </w:p>
    <w:p w14:paraId="211C40E3" w14:textId="77777777" w:rsidR="00A966A9" w:rsidRPr="009C6045" w:rsidRDefault="00A966A9" w:rsidP="00C21A33">
      <w:pPr>
        <w:pStyle w:val="NoSpacing"/>
        <w:jc w:val="both"/>
      </w:pPr>
      <w:r w:rsidRPr="009C6045">
        <w:rPr>
          <w:b/>
        </w:rPr>
        <w:t>Tantalum containing intermediates</w:t>
      </w:r>
      <w:r w:rsidRPr="009C6045">
        <w:t xml:space="preserve"> include but are not limited to: </w:t>
      </w:r>
    </w:p>
    <w:p w14:paraId="53F21A8E" w14:textId="77777777" w:rsidR="00A966A9" w:rsidRPr="009C6045" w:rsidRDefault="00A966A9" w:rsidP="006256DB">
      <w:pPr>
        <w:pStyle w:val="NoSpacing"/>
        <w:numPr>
          <w:ilvl w:val="0"/>
          <w:numId w:val="34"/>
        </w:numPr>
        <w:jc w:val="both"/>
      </w:pPr>
      <w:r w:rsidRPr="009C6045">
        <w:t>tantalum pentoxide (Ta</w:t>
      </w:r>
      <w:r w:rsidRPr="009C6045">
        <w:rPr>
          <w:vertAlign w:val="subscript"/>
        </w:rPr>
        <w:t>2</w:t>
      </w:r>
      <w:r w:rsidRPr="009C6045">
        <w:t>O</w:t>
      </w:r>
      <w:r w:rsidRPr="009C6045">
        <w:rPr>
          <w:vertAlign w:val="subscript"/>
        </w:rPr>
        <w:t>5</w:t>
      </w:r>
      <w:r w:rsidRPr="009C6045">
        <w:t>)</w:t>
      </w:r>
    </w:p>
    <w:p w14:paraId="09F1AE7A" w14:textId="77777777" w:rsidR="00A966A9" w:rsidRPr="009C6045" w:rsidRDefault="00A966A9" w:rsidP="006256DB">
      <w:pPr>
        <w:pStyle w:val="NoSpacing"/>
        <w:numPr>
          <w:ilvl w:val="0"/>
          <w:numId w:val="34"/>
        </w:numPr>
        <w:jc w:val="both"/>
      </w:pPr>
      <w:r w:rsidRPr="009C6045">
        <w:t>tantalum scrap</w:t>
      </w:r>
    </w:p>
    <w:p w14:paraId="17BF3F96" w14:textId="77777777" w:rsidR="00A966A9" w:rsidRPr="009C6045" w:rsidRDefault="00A966A9" w:rsidP="006256DB">
      <w:pPr>
        <w:pStyle w:val="NoSpacing"/>
        <w:numPr>
          <w:ilvl w:val="0"/>
          <w:numId w:val="34"/>
        </w:numPr>
        <w:jc w:val="both"/>
      </w:pPr>
      <w:r w:rsidRPr="009C6045">
        <w:t>K-salt (K</w:t>
      </w:r>
      <w:r w:rsidRPr="009C6045">
        <w:rPr>
          <w:vertAlign w:val="subscript"/>
        </w:rPr>
        <w:t>2</w:t>
      </w:r>
      <w:r w:rsidRPr="009C6045">
        <w:t>TaF</w:t>
      </w:r>
      <w:r w:rsidRPr="009C6045">
        <w:rPr>
          <w:vertAlign w:val="subscript"/>
        </w:rPr>
        <w:t>7</w:t>
      </w:r>
      <w:r w:rsidRPr="009C6045">
        <w:t>)</w:t>
      </w:r>
    </w:p>
    <w:p w14:paraId="1EF718FD" w14:textId="77777777" w:rsidR="00A966A9" w:rsidRPr="009C6045" w:rsidRDefault="00A966A9" w:rsidP="006256DB">
      <w:pPr>
        <w:pStyle w:val="NoSpacing"/>
        <w:numPr>
          <w:ilvl w:val="0"/>
          <w:numId w:val="34"/>
        </w:numPr>
        <w:jc w:val="both"/>
      </w:pPr>
      <w:r w:rsidRPr="009C6045">
        <w:t>metallurgical grade tantalum powder</w:t>
      </w:r>
    </w:p>
    <w:p w14:paraId="08865DEE" w14:textId="77777777" w:rsidR="00A966A9" w:rsidRPr="009C6045" w:rsidRDefault="00A966A9" w:rsidP="006256DB">
      <w:pPr>
        <w:pStyle w:val="NoSpacing"/>
        <w:numPr>
          <w:ilvl w:val="0"/>
          <w:numId w:val="34"/>
        </w:numPr>
        <w:jc w:val="both"/>
      </w:pPr>
      <w:r w:rsidRPr="009C6045">
        <w:t>tantalum hydroxide</w:t>
      </w:r>
    </w:p>
    <w:p w14:paraId="25CE39E5" w14:textId="77777777" w:rsidR="00A966A9" w:rsidRPr="009C6045" w:rsidRDefault="00A966A9" w:rsidP="006256DB">
      <w:pPr>
        <w:pStyle w:val="NoSpacing"/>
        <w:numPr>
          <w:ilvl w:val="0"/>
          <w:numId w:val="34"/>
        </w:numPr>
        <w:jc w:val="both"/>
      </w:pPr>
      <w:r w:rsidRPr="009C6045">
        <w:t>tantalum oxalate</w:t>
      </w:r>
    </w:p>
    <w:p w14:paraId="738FD623" w14:textId="77777777" w:rsidR="00A966A9" w:rsidRPr="009C6045" w:rsidRDefault="00A966A9" w:rsidP="006256DB">
      <w:pPr>
        <w:pStyle w:val="NoSpacing"/>
        <w:numPr>
          <w:ilvl w:val="0"/>
          <w:numId w:val="34"/>
        </w:numPr>
        <w:jc w:val="both"/>
      </w:pPr>
      <w:r w:rsidRPr="009C6045">
        <w:t>tantalum pentachloride</w:t>
      </w:r>
    </w:p>
    <w:p w14:paraId="7016F5A6" w14:textId="77777777" w:rsidR="00A966A9" w:rsidRPr="009C6045" w:rsidRDefault="00A966A9" w:rsidP="006256DB">
      <w:pPr>
        <w:pStyle w:val="NoSpacing"/>
        <w:numPr>
          <w:ilvl w:val="0"/>
          <w:numId w:val="34"/>
        </w:numPr>
        <w:jc w:val="both"/>
      </w:pPr>
      <w:r w:rsidRPr="009C6045">
        <w:t>lithium tantalate</w:t>
      </w:r>
    </w:p>
    <w:p w14:paraId="3BDAC197" w14:textId="77777777" w:rsidR="00A966A9" w:rsidRPr="009C6045" w:rsidRDefault="00A966A9" w:rsidP="006256DB">
      <w:pPr>
        <w:pStyle w:val="NoSpacing"/>
        <w:numPr>
          <w:ilvl w:val="0"/>
          <w:numId w:val="34"/>
        </w:numPr>
        <w:jc w:val="both"/>
      </w:pPr>
      <w:r w:rsidRPr="009C6045">
        <w:t>tantalum carbide</w:t>
      </w:r>
    </w:p>
    <w:p w14:paraId="52418111" w14:textId="77777777" w:rsidR="00A966A9" w:rsidRPr="009C6045" w:rsidRDefault="00A966A9" w:rsidP="00C21A33">
      <w:pPr>
        <w:pStyle w:val="NoSpacing"/>
        <w:jc w:val="both"/>
      </w:pPr>
    </w:p>
    <w:p w14:paraId="36014065" w14:textId="77777777" w:rsidR="00A966A9" w:rsidRPr="009C6045" w:rsidRDefault="00A966A9" w:rsidP="00C21A33">
      <w:pPr>
        <w:pStyle w:val="NoSpacing"/>
        <w:jc w:val="both"/>
      </w:pPr>
      <w:r w:rsidRPr="009C6045">
        <w:rPr>
          <w:b/>
        </w:rPr>
        <w:t>Tantalum-containing products</w:t>
      </w:r>
      <w:r w:rsidRPr="009C6045">
        <w:t xml:space="preserve"> include but are not limited to:</w:t>
      </w:r>
    </w:p>
    <w:p w14:paraId="691026A6" w14:textId="77777777" w:rsidR="00A966A9" w:rsidRPr="009C6045" w:rsidRDefault="00A966A9" w:rsidP="006256DB">
      <w:pPr>
        <w:pStyle w:val="NoSpacing"/>
        <w:numPr>
          <w:ilvl w:val="0"/>
          <w:numId w:val="35"/>
        </w:numPr>
        <w:jc w:val="both"/>
      </w:pPr>
      <w:r w:rsidRPr="009C6045">
        <w:t xml:space="preserve">Capacitor grade tantalum powder </w:t>
      </w:r>
    </w:p>
    <w:p w14:paraId="2BA7A4D8" w14:textId="77777777" w:rsidR="00A966A9" w:rsidRPr="009C6045" w:rsidRDefault="00A966A9" w:rsidP="006256DB">
      <w:pPr>
        <w:pStyle w:val="NoSpacing"/>
        <w:numPr>
          <w:ilvl w:val="0"/>
          <w:numId w:val="35"/>
        </w:numPr>
        <w:jc w:val="both"/>
      </w:pPr>
      <w:r w:rsidRPr="009C6045">
        <w:t xml:space="preserve">Tantalum sheet, bar,  rod and wire </w:t>
      </w:r>
    </w:p>
    <w:p w14:paraId="596BB395" w14:textId="77777777" w:rsidR="00A966A9" w:rsidRPr="009C6045" w:rsidRDefault="00A966A9" w:rsidP="006256DB">
      <w:pPr>
        <w:pStyle w:val="NoSpacing"/>
        <w:numPr>
          <w:ilvl w:val="0"/>
          <w:numId w:val="35"/>
        </w:numPr>
        <w:jc w:val="both"/>
      </w:pPr>
      <w:r w:rsidRPr="009C6045">
        <w:t>Tantalum ingot powder</w:t>
      </w:r>
    </w:p>
    <w:p w14:paraId="13D52F0D" w14:textId="77777777" w:rsidR="00A966A9" w:rsidRPr="009C6045" w:rsidRDefault="00A966A9" w:rsidP="006256DB">
      <w:pPr>
        <w:pStyle w:val="NoSpacing"/>
        <w:numPr>
          <w:ilvl w:val="0"/>
          <w:numId w:val="35"/>
        </w:numPr>
        <w:jc w:val="both"/>
      </w:pPr>
      <w:r w:rsidRPr="009C6045">
        <w:t xml:space="preserve">Tantalum sputter targets </w:t>
      </w:r>
    </w:p>
    <w:p w14:paraId="747AC9FB" w14:textId="77777777" w:rsidR="00A966A9" w:rsidRPr="009C6045" w:rsidRDefault="00A966A9" w:rsidP="006256DB">
      <w:pPr>
        <w:pStyle w:val="NoSpacing"/>
        <w:numPr>
          <w:ilvl w:val="0"/>
          <w:numId w:val="35"/>
        </w:numPr>
        <w:jc w:val="both"/>
      </w:pPr>
      <w:r w:rsidRPr="009C6045">
        <w:t xml:space="preserve">Tantalum alloy additions </w:t>
      </w:r>
    </w:p>
    <w:p w14:paraId="25A38E3B" w14:textId="77777777" w:rsidR="00A966A9" w:rsidRPr="009C6045" w:rsidRDefault="00A966A9" w:rsidP="006256DB">
      <w:pPr>
        <w:pStyle w:val="NoSpacing"/>
        <w:numPr>
          <w:ilvl w:val="0"/>
          <w:numId w:val="35"/>
        </w:numPr>
        <w:jc w:val="both"/>
      </w:pPr>
      <w:r w:rsidRPr="009C6045">
        <w:t>Tantalum metallurgical grade powder</w:t>
      </w:r>
    </w:p>
    <w:p w14:paraId="30EE1065" w14:textId="1D745818" w:rsidR="00B570DC" w:rsidRDefault="00B570DC" w:rsidP="00C21A33">
      <w:pPr>
        <w:pStyle w:val="ListParagraph"/>
        <w:spacing w:after="0" w:line="240" w:lineRule="auto"/>
        <w:jc w:val="both"/>
      </w:pPr>
    </w:p>
    <w:p w14:paraId="7A1B499D" w14:textId="1CB129CA" w:rsidR="00857F55" w:rsidRDefault="00857F55" w:rsidP="00C21A33">
      <w:pPr>
        <w:jc w:val="both"/>
        <w:rPr>
          <w:rFonts w:ascii="Calibri" w:eastAsiaTheme="majorEastAsia" w:hAnsi="Calibri" w:cstheme="majorBidi"/>
          <w:b/>
          <w:bCs/>
        </w:rPr>
      </w:pPr>
      <w:bookmarkStart w:id="49" w:name="_Toc315084491"/>
      <w:r>
        <w:br w:type="page"/>
      </w:r>
    </w:p>
    <w:p w14:paraId="5F746148" w14:textId="17BE0027" w:rsidR="000A558D" w:rsidRDefault="000D191C" w:rsidP="00C21A33">
      <w:pPr>
        <w:pStyle w:val="Heading2"/>
        <w:numPr>
          <w:ilvl w:val="0"/>
          <w:numId w:val="0"/>
        </w:numPr>
        <w:spacing w:before="0"/>
        <w:jc w:val="both"/>
      </w:pPr>
      <w:bookmarkStart w:id="50" w:name="_Toc450308540"/>
      <w:r>
        <w:lastRenderedPageBreak/>
        <w:t>Annex</w:t>
      </w:r>
      <w:r w:rsidR="0065177C">
        <w:t xml:space="preserve"> V</w:t>
      </w:r>
      <w:r w:rsidR="009C6045">
        <w:t>I</w:t>
      </w:r>
      <w:r w:rsidR="0065177C">
        <w:t xml:space="preserve">: </w:t>
      </w:r>
      <w:r w:rsidR="000A558D">
        <w:t>Approach for ASM</w:t>
      </w:r>
      <w:r w:rsidR="00387E10">
        <w:t xml:space="preserve"> </w:t>
      </w:r>
      <w:r w:rsidR="007C550B">
        <w:t>S</w:t>
      </w:r>
      <w:r w:rsidR="00387E10">
        <w:t>ourcing</w:t>
      </w:r>
      <w:bookmarkEnd w:id="49"/>
      <w:bookmarkEnd w:id="50"/>
    </w:p>
    <w:p w14:paraId="0EC4EC3D" w14:textId="77777777" w:rsidR="00387E10" w:rsidRPr="00387E10" w:rsidRDefault="00387E10" w:rsidP="00C21A33">
      <w:pPr>
        <w:spacing w:after="0" w:line="240" w:lineRule="auto"/>
        <w:jc w:val="both"/>
      </w:pPr>
    </w:p>
    <w:p w14:paraId="33A794E9" w14:textId="46C460D9" w:rsidR="0015750D" w:rsidRDefault="000A558D" w:rsidP="00C21A33">
      <w:pPr>
        <w:spacing w:after="0" w:line="240" w:lineRule="auto"/>
        <w:jc w:val="both"/>
      </w:pPr>
      <w:r>
        <w:t xml:space="preserve">a) Reduced </w:t>
      </w:r>
      <w:r w:rsidR="009B2AC5">
        <w:t>Documentation R</w:t>
      </w:r>
      <w:r>
        <w:t>equirements</w:t>
      </w:r>
    </w:p>
    <w:p w14:paraId="3F0883B0" w14:textId="79700B03" w:rsidR="000A558D" w:rsidRDefault="007548E7" w:rsidP="00C21A33">
      <w:pPr>
        <w:spacing w:after="0" w:line="240" w:lineRule="auto"/>
        <w:jc w:val="both"/>
      </w:pPr>
      <w:r>
        <w:t xml:space="preserve">ASM material will not always be traceable to the </w:t>
      </w:r>
      <w:r w:rsidR="00797885">
        <w:t xml:space="preserve">mine site </w:t>
      </w:r>
      <w:r>
        <w:t xml:space="preserve">of origin, and documentation commonly requested for large operators may not be available. </w:t>
      </w:r>
      <w:r w:rsidR="00797885" w:rsidRPr="007548E7">
        <w:t xml:space="preserve">ASM material </w:t>
      </w:r>
      <w:r w:rsidR="00797885">
        <w:t xml:space="preserve">should be </w:t>
      </w:r>
      <w:r w:rsidR="00797885" w:rsidRPr="007548E7">
        <w:t>traceable at least to the “mining area</w:t>
      </w:r>
      <w:r w:rsidR="00797885">
        <w:t>,</w:t>
      </w:r>
      <w:r w:rsidR="00797885" w:rsidRPr="007548E7">
        <w:t xml:space="preserve">” </w:t>
      </w:r>
      <w:r w:rsidR="00797885">
        <w:t xml:space="preserve">if not the </w:t>
      </w:r>
      <w:r w:rsidR="00797885" w:rsidRPr="007548E7">
        <w:t>site of origin</w:t>
      </w:r>
      <w:r w:rsidR="00797885">
        <w:t xml:space="preserve">. </w:t>
      </w:r>
      <w:r>
        <w:t>T</w:t>
      </w:r>
      <w:r w:rsidR="00797885">
        <w:t>he smelter shall</w:t>
      </w:r>
      <w:r w:rsidR="000A558D">
        <w:t xml:space="preserve"> obtain a supplemental document for all ASM sourcing</w:t>
      </w:r>
      <w:r w:rsidR="00D037D6">
        <w:t>, such as a</w:t>
      </w:r>
      <w:r w:rsidR="00797885">
        <w:t xml:space="preserve"> declaration of ASM area</w:t>
      </w:r>
      <w:r w:rsidR="000A558D">
        <w:t xml:space="preserve"> of origin from the exporter</w:t>
      </w:r>
      <w:r w:rsidR="007A77F1">
        <w:t>, trader, supplier, etc.</w:t>
      </w:r>
      <w:r w:rsidR="000A558D">
        <w:t xml:space="preserve"> or </w:t>
      </w:r>
      <w:r w:rsidR="00A95953">
        <w:t>immediate supplier</w:t>
      </w:r>
      <w:r w:rsidR="000A558D">
        <w:t>.</w:t>
      </w:r>
    </w:p>
    <w:p w14:paraId="19CD029C" w14:textId="77777777" w:rsidR="00A966A9" w:rsidRDefault="00A966A9" w:rsidP="00C21A33">
      <w:pPr>
        <w:spacing w:after="0" w:line="240" w:lineRule="auto"/>
        <w:jc w:val="both"/>
      </w:pPr>
    </w:p>
    <w:p w14:paraId="44B0D6FF" w14:textId="3980DE78" w:rsidR="000A558D" w:rsidRDefault="000A558D" w:rsidP="00C21A33">
      <w:pPr>
        <w:spacing w:after="0" w:line="240" w:lineRule="auto"/>
        <w:jc w:val="both"/>
      </w:pPr>
      <w:r>
        <w:t>b) Limitations of Plausibility Assessment</w:t>
      </w:r>
      <w:r w:rsidR="009B2AC5">
        <w:t>s</w:t>
      </w:r>
    </w:p>
    <w:p w14:paraId="4F34C93B" w14:textId="6797DC02" w:rsidR="000A558D" w:rsidRDefault="000A558D" w:rsidP="00C21A33">
      <w:pPr>
        <w:spacing w:after="0" w:line="240" w:lineRule="auto"/>
        <w:jc w:val="both"/>
      </w:pPr>
      <w:r>
        <w:t xml:space="preserve">It is recognized that statistics on ASM production are not typically collected through official channels, nor is the production </w:t>
      </w:r>
      <w:r w:rsidR="007548E7">
        <w:t xml:space="preserve">always </w:t>
      </w:r>
      <w:r>
        <w:t>known. The smelter should attempt to collect information that is generally available</w:t>
      </w:r>
      <w:r w:rsidR="00F93B7E">
        <w:t xml:space="preserve">. </w:t>
      </w:r>
      <w:r>
        <w:t>Quantities reportedly available across an area are not directly relevant to one purchasing smelter, since other purchasers may be operating and taking additional unknown quantities from the same locations.</w:t>
      </w:r>
    </w:p>
    <w:p w14:paraId="68E9D317" w14:textId="77777777" w:rsidR="00A966A9" w:rsidRDefault="00A966A9" w:rsidP="00C21A33">
      <w:pPr>
        <w:spacing w:after="0" w:line="240" w:lineRule="auto"/>
        <w:jc w:val="both"/>
      </w:pPr>
    </w:p>
    <w:p w14:paraId="3718B90C" w14:textId="31B794EE" w:rsidR="000A558D" w:rsidRDefault="000A558D" w:rsidP="00C21A33">
      <w:pPr>
        <w:spacing w:after="0" w:line="240" w:lineRule="auto"/>
        <w:jc w:val="both"/>
      </w:pPr>
      <w:r>
        <w:t>Due to the higher inherent risk for Level 3 countries</w:t>
      </w:r>
      <w:r w:rsidR="00F93B7E">
        <w:t>, the audit will include a more</w:t>
      </w:r>
      <w:r>
        <w:t xml:space="preserve"> extensive discussion of efforts made by the smelter to understand any increasing production trends. </w:t>
      </w:r>
      <w:r w:rsidR="007548E7" w:rsidRPr="007548E7">
        <w:t>The smelter should expect its supplier(s</w:t>
      </w:r>
      <w:r w:rsidR="00F93B7E">
        <w:t xml:space="preserve">), directly or through </w:t>
      </w:r>
      <w:r w:rsidR="00AF3FDA">
        <w:t>an</w:t>
      </w:r>
      <w:r w:rsidR="00F93B7E">
        <w:t xml:space="preserve"> </w:t>
      </w:r>
      <w:r w:rsidR="00620FB2">
        <w:t xml:space="preserve">upstream assurance </w:t>
      </w:r>
      <w:r w:rsidR="00797885">
        <w:t>system</w:t>
      </w:r>
      <w:r w:rsidR="00F93B7E">
        <w:t>,</w:t>
      </w:r>
      <w:r w:rsidR="007548E7" w:rsidRPr="007548E7">
        <w:t xml:space="preserve"> to have access to and provide this information. </w:t>
      </w:r>
    </w:p>
    <w:p w14:paraId="6D5410F0" w14:textId="77777777" w:rsidR="00A966A9" w:rsidRDefault="00A966A9" w:rsidP="00C21A33">
      <w:pPr>
        <w:spacing w:after="0" w:line="240" w:lineRule="auto"/>
        <w:jc w:val="both"/>
      </w:pPr>
    </w:p>
    <w:p w14:paraId="4A7FC851" w14:textId="325A9DB7" w:rsidR="00002502" w:rsidRDefault="00002502" w:rsidP="00C21A33">
      <w:pPr>
        <w:spacing w:after="0" w:line="240" w:lineRule="auto"/>
        <w:jc w:val="both"/>
      </w:pPr>
      <w:r>
        <w:t>c)</w:t>
      </w:r>
      <w:r w:rsidR="009B2AC5">
        <w:t xml:space="preserve"> ASM</w:t>
      </w:r>
      <w:r>
        <w:t xml:space="preserve"> </w:t>
      </w:r>
      <w:r w:rsidR="009B2AC5">
        <w:t>Documentation E</w:t>
      </w:r>
      <w:r w:rsidR="00481F30">
        <w:t>xamples</w:t>
      </w:r>
    </w:p>
    <w:p w14:paraId="1891F46C" w14:textId="77777777" w:rsidR="009B2AC5" w:rsidRDefault="009B2AC5" w:rsidP="00C21A33">
      <w:pPr>
        <w:spacing w:after="0" w:line="240" w:lineRule="auto"/>
        <w:jc w:val="both"/>
      </w:pPr>
    </w:p>
    <w:p w14:paraId="191F6639" w14:textId="64A14B95" w:rsidR="00FA658F" w:rsidRDefault="00FA658F" w:rsidP="00FA658F">
      <w:pPr>
        <w:pStyle w:val="Caption"/>
        <w:spacing w:after="0"/>
      </w:pPr>
      <w:r>
        <w:t xml:space="preserve">Table 9: ASM </w:t>
      </w:r>
    </w:p>
    <w:tbl>
      <w:tblPr>
        <w:tblStyle w:val="TableGrid"/>
        <w:tblW w:w="0" w:type="auto"/>
        <w:tblLayout w:type="fixed"/>
        <w:tblLook w:val="04A0" w:firstRow="1" w:lastRow="0" w:firstColumn="1" w:lastColumn="0" w:noHBand="0" w:noVBand="1"/>
      </w:tblPr>
      <w:tblGrid>
        <w:gridCol w:w="1809"/>
        <w:gridCol w:w="2268"/>
        <w:gridCol w:w="5499"/>
      </w:tblGrid>
      <w:tr w:rsidR="00F93B7E" w:rsidRPr="00716F58" w14:paraId="092FDF00" w14:textId="77777777" w:rsidTr="00FA3D00">
        <w:tc>
          <w:tcPr>
            <w:tcW w:w="1809" w:type="dxa"/>
            <w:vAlign w:val="center"/>
          </w:tcPr>
          <w:p w14:paraId="2443CB6E" w14:textId="77777777" w:rsidR="00F93B7E" w:rsidRPr="00716F58" w:rsidRDefault="00F93B7E" w:rsidP="00FA3D00">
            <w:pPr>
              <w:jc w:val="center"/>
              <w:rPr>
                <w:b/>
                <w:lang w:val="en-GB"/>
              </w:rPr>
            </w:pPr>
            <w:r w:rsidRPr="00716F58">
              <w:rPr>
                <w:b/>
                <w:lang w:val="en-GB"/>
              </w:rPr>
              <w:t>Material Type</w:t>
            </w:r>
          </w:p>
        </w:tc>
        <w:tc>
          <w:tcPr>
            <w:tcW w:w="2268" w:type="dxa"/>
            <w:vAlign w:val="center"/>
          </w:tcPr>
          <w:p w14:paraId="57E00451" w14:textId="77777777" w:rsidR="00F93B7E" w:rsidRPr="00716F58" w:rsidRDefault="00F93B7E" w:rsidP="00FA3D00">
            <w:pPr>
              <w:jc w:val="center"/>
              <w:rPr>
                <w:b/>
                <w:lang w:val="en-GB"/>
              </w:rPr>
            </w:pPr>
            <w:r w:rsidRPr="00716F58">
              <w:rPr>
                <w:b/>
                <w:lang w:val="en-GB"/>
              </w:rPr>
              <w:t>Expectation</w:t>
            </w:r>
          </w:p>
        </w:tc>
        <w:tc>
          <w:tcPr>
            <w:tcW w:w="5499" w:type="dxa"/>
            <w:vAlign w:val="center"/>
          </w:tcPr>
          <w:p w14:paraId="48126A99" w14:textId="77777777" w:rsidR="00F93B7E" w:rsidRPr="00716F58" w:rsidRDefault="00F93B7E" w:rsidP="00FA3D00">
            <w:pPr>
              <w:jc w:val="center"/>
              <w:rPr>
                <w:b/>
                <w:lang w:val="en-GB"/>
              </w:rPr>
            </w:pPr>
            <w:r w:rsidRPr="00716F58">
              <w:rPr>
                <w:b/>
                <w:lang w:val="en-GB"/>
              </w:rPr>
              <w:t>Example Document Types</w:t>
            </w:r>
          </w:p>
          <w:p w14:paraId="05903AE4" w14:textId="77777777" w:rsidR="00F93B7E" w:rsidRPr="00716F58" w:rsidRDefault="00F93B7E" w:rsidP="00FA3D00">
            <w:pPr>
              <w:jc w:val="center"/>
              <w:rPr>
                <w:b/>
                <w:lang w:val="en-GB"/>
              </w:rPr>
            </w:pPr>
            <w:r w:rsidRPr="00716F58">
              <w:rPr>
                <w:b/>
                <w:lang w:val="en-GB"/>
              </w:rPr>
              <w:t>(Not every document is necessary)</w:t>
            </w:r>
          </w:p>
        </w:tc>
      </w:tr>
      <w:tr w:rsidR="00F93B7E" w14:paraId="12FBC2A7" w14:textId="77777777" w:rsidTr="00FA3D00">
        <w:tc>
          <w:tcPr>
            <w:tcW w:w="1809" w:type="dxa"/>
            <w:vAlign w:val="center"/>
          </w:tcPr>
          <w:p w14:paraId="65B37ADF" w14:textId="3D4E08F1" w:rsidR="00481F30" w:rsidRDefault="00F93B7E" w:rsidP="00FA3D00">
            <w:r>
              <w:t xml:space="preserve">Mined material, ASM, </w:t>
            </w:r>
            <w:r w:rsidR="00481F30">
              <w:t xml:space="preserve">Level 1 </w:t>
            </w:r>
          </w:p>
        </w:tc>
        <w:tc>
          <w:tcPr>
            <w:tcW w:w="2268" w:type="dxa"/>
            <w:vAlign w:val="center"/>
          </w:tcPr>
          <w:p w14:paraId="317D992D" w14:textId="75B9D14D" w:rsidR="00481F30" w:rsidRDefault="00F93B7E" w:rsidP="00FA3D00">
            <w:r>
              <w:t>Source</w:t>
            </w:r>
          </w:p>
        </w:tc>
        <w:tc>
          <w:tcPr>
            <w:tcW w:w="5499" w:type="dxa"/>
            <w:vAlign w:val="center"/>
          </w:tcPr>
          <w:p w14:paraId="3A6A16DC" w14:textId="77777777" w:rsidR="00481F30" w:rsidRDefault="00481F30" w:rsidP="006256DB">
            <w:pPr>
              <w:pStyle w:val="ListParagraph"/>
              <w:numPr>
                <w:ilvl w:val="0"/>
                <w:numId w:val="27"/>
              </w:numPr>
              <w:ind w:left="423"/>
            </w:pPr>
            <w:r>
              <w:t>Declaration of region of origin of mine within Level 1 country</w:t>
            </w:r>
          </w:p>
        </w:tc>
      </w:tr>
      <w:tr w:rsidR="00F93B7E" w14:paraId="20CFC2BF" w14:textId="77777777" w:rsidTr="00FA3D00">
        <w:tc>
          <w:tcPr>
            <w:tcW w:w="1809" w:type="dxa"/>
            <w:vAlign w:val="center"/>
          </w:tcPr>
          <w:p w14:paraId="5F673424" w14:textId="7D4E015F" w:rsidR="00481F30" w:rsidRDefault="00F93B7E" w:rsidP="00FA3D00">
            <w:r>
              <w:t xml:space="preserve">Mined material, ASM, </w:t>
            </w:r>
            <w:r w:rsidR="00481F30">
              <w:t>Level 2 ASM</w:t>
            </w:r>
          </w:p>
        </w:tc>
        <w:tc>
          <w:tcPr>
            <w:tcW w:w="2268" w:type="dxa"/>
            <w:vAlign w:val="center"/>
          </w:tcPr>
          <w:p w14:paraId="1548411E" w14:textId="749F694F" w:rsidR="00481F30" w:rsidRDefault="00F93B7E" w:rsidP="00FA3D00">
            <w:r>
              <w:t>Source</w:t>
            </w:r>
          </w:p>
        </w:tc>
        <w:tc>
          <w:tcPr>
            <w:tcW w:w="5499" w:type="dxa"/>
            <w:vAlign w:val="center"/>
          </w:tcPr>
          <w:p w14:paraId="0FF6CEEE" w14:textId="3CBB9240" w:rsidR="00481F30" w:rsidRDefault="00481F30" w:rsidP="006256DB">
            <w:pPr>
              <w:pStyle w:val="ListParagraph"/>
              <w:numPr>
                <w:ilvl w:val="0"/>
                <w:numId w:val="27"/>
              </w:numPr>
              <w:ind w:left="423"/>
            </w:pPr>
            <w:r>
              <w:t>Reports or date from supplier, company, or external source to valid</w:t>
            </w:r>
            <w:r w:rsidR="00F93B7E">
              <w:t>ate</w:t>
            </w:r>
            <w:r>
              <w:t xml:space="preserve"> as known production area, </w:t>
            </w:r>
            <w:r w:rsidR="00DE140B">
              <w:t>for example</w:t>
            </w:r>
            <w:r>
              <w:t>:</w:t>
            </w:r>
          </w:p>
          <w:p w14:paraId="0A6D2854" w14:textId="77777777" w:rsidR="00481F30" w:rsidRDefault="00481F30" w:rsidP="006256DB">
            <w:pPr>
              <w:pStyle w:val="ListParagraph"/>
              <w:numPr>
                <w:ilvl w:val="1"/>
                <w:numId w:val="27"/>
              </w:numPr>
              <w:ind w:left="783"/>
            </w:pPr>
            <w:r>
              <w:t>Trading entity data</w:t>
            </w:r>
          </w:p>
          <w:p w14:paraId="18B0C3E8" w14:textId="77777777" w:rsidR="00481F30" w:rsidRDefault="00481F30" w:rsidP="006256DB">
            <w:pPr>
              <w:pStyle w:val="ListParagraph"/>
              <w:numPr>
                <w:ilvl w:val="1"/>
                <w:numId w:val="27"/>
              </w:numPr>
              <w:ind w:left="783"/>
            </w:pPr>
            <w:r>
              <w:t>3</w:t>
            </w:r>
            <w:r w:rsidRPr="00576FA0">
              <w:rPr>
                <w:vertAlign w:val="superscript"/>
              </w:rPr>
              <w:t>rd</w:t>
            </w:r>
            <w:r>
              <w:t xml:space="preserve"> party representative data</w:t>
            </w:r>
          </w:p>
          <w:p w14:paraId="50586742" w14:textId="77777777" w:rsidR="00481F30" w:rsidRDefault="00481F30" w:rsidP="006256DB">
            <w:pPr>
              <w:pStyle w:val="ListParagraph"/>
              <w:numPr>
                <w:ilvl w:val="1"/>
                <w:numId w:val="27"/>
              </w:numPr>
              <w:ind w:left="783"/>
            </w:pPr>
            <w:r>
              <w:t>Industry association data</w:t>
            </w:r>
          </w:p>
          <w:p w14:paraId="13161641" w14:textId="02E675A0" w:rsidR="00F93B7E" w:rsidRDefault="00481F30" w:rsidP="006256DB">
            <w:pPr>
              <w:pStyle w:val="ListParagraph"/>
              <w:numPr>
                <w:ilvl w:val="1"/>
                <w:numId w:val="27"/>
              </w:numPr>
              <w:ind w:left="783"/>
            </w:pPr>
            <w:r>
              <w:t>Research entity data</w:t>
            </w:r>
          </w:p>
          <w:p w14:paraId="7343343B" w14:textId="1CBFFAEB" w:rsidR="00F93B7E" w:rsidRDefault="00481F30" w:rsidP="006256DB">
            <w:pPr>
              <w:pStyle w:val="ListParagraph"/>
              <w:numPr>
                <w:ilvl w:val="1"/>
                <w:numId w:val="27"/>
              </w:numPr>
              <w:ind w:left="783"/>
            </w:pPr>
            <w:r>
              <w:t>Geographical s</w:t>
            </w:r>
            <w:r w:rsidR="00F93B7E">
              <w:t>tudies</w:t>
            </w:r>
          </w:p>
          <w:p w14:paraId="1DCEC7B2" w14:textId="77777777" w:rsidR="00481F30" w:rsidRDefault="00481F30" w:rsidP="006256DB">
            <w:pPr>
              <w:pStyle w:val="ListParagraph"/>
              <w:numPr>
                <w:ilvl w:val="1"/>
                <w:numId w:val="27"/>
              </w:numPr>
              <w:ind w:left="783"/>
            </w:pPr>
            <w:r>
              <w:t>Sales statistics</w:t>
            </w:r>
          </w:p>
        </w:tc>
      </w:tr>
      <w:tr w:rsidR="00F93B7E" w14:paraId="08533B88" w14:textId="77777777" w:rsidTr="00FA3D00">
        <w:tc>
          <w:tcPr>
            <w:tcW w:w="1809" w:type="dxa"/>
            <w:vAlign w:val="center"/>
          </w:tcPr>
          <w:p w14:paraId="7E02D1EB" w14:textId="0E68A441" w:rsidR="00F93B7E" w:rsidRDefault="00F93B7E" w:rsidP="00FA3D00">
            <w:r>
              <w:t>Mined material, ASM, Level 3</w:t>
            </w:r>
          </w:p>
        </w:tc>
        <w:tc>
          <w:tcPr>
            <w:tcW w:w="2268" w:type="dxa"/>
            <w:vAlign w:val="center"/>
          </w:tcPr>
          <w:p w14:paraId="4D3C0E65" w14:textId="22CD6279" w:rsidR="00F93B7E" w:rsidDel="00F93B7E" w:rsidRDefault="00F93B7E" w:rsidP="00FA3D00">
            <w:r>
              <w:t>All expectations</w:t>
            </w:r>
          </w:p>
        </w:tc>
        <w:tc>
          <w:tcPr>
            <w:tcW w:w="5499" w:type="dxa"/>
            <w:vAlign w:val="center"/>
          </w:tcPr>
          <w:p w14:paraId="1401136F" w14:textId="5575C632" w:rsidR="00F93B7E" w:rsidRDefault="00F93B7E" w:rsidP="00FA3D00">
            <w:r>
              <w:t xml:space="preserve">Refer to </w:t>
            </w:r>
            <w:r w:rsidR="00854397">
              <w:rPr>
                <w:highlight w:val="yellow"/>
              </w:rPr>
              <w:t>Annex I, Table 4</w:t>
            </w:r>
            <w:r w:rsidRPr="00FC0839">
              <w:rPr>
                <w:highlight w:val="yellow"/>
              </w:rPr>
              <w:t>:</w:t>
            </w:r>
            <w:r>
              <w:t xml:space="preserve"> Document Examples: Mined Materials, Section on Mined Materials, Level 3</w:t>
            </w:r>
          </w:p>
        </w:tc>
      </w:tr>
    </w:tbl>
    <w:p w14:paraId="5D6ECD03" w14:textId="4DCF846C" w:rsidR="00B570DC" w:rsidRDefault="00B570DC" w:rsidP="00C21A33">
      <w:pPr>
        <w:spacing w:after="0" w:line="240" w:lineRule="auto"/>
        <w:jc w:val="both"/>
      </w:pPr>
    </w:p>
    <w:p w14:paraId="2D1813EE" w14:textId="77777777" w:rsidR="00B570DC" w:rsidRDefault="00B570DC" w:rsidP="00C21A33">
      <w:pPr>
        <w:spacing w:after="0" w:line="240" w:lineRule="auto"/>
        <w:jc w:val="both"/>
      </w:pPr>
      <w:r>
        <w:br w:type="page"/>
      </w:r>
    </w:p>
    <w:p w14:paraId="5DF9DDD3" w14:textId="61D30342" w:rsidR="00477635" w:rsidRDefault="000D191C" w:rsidP="00C21A33">
      <w:pPr>
        <w:pStyle w:val="Heading2"/>
        <w:numPr>
          <w:ilvl w:val="0"/>
          <w:numId w:val="0"/>
        </w:numPr>
        <w:spacing w:before="0"/>
        <w:jc w:val="both"/>
      </w:pPr>
      <w:bookmarkStart w:id="51" w:name="_Toc315084492"/>
      <w:bookmarkStart w:id="52" w:name="_Toc450308541"/>
      <w:r>
        <w:lastRenderedPageBreak/>
        <w:t>Annex</w:t>
      </w:r>
      <w:r w:rsidR="0065177C">
        <w:t xml:space="preserve"> V</w:t>
      </w:r>
      <w:r w:rsidR="009C6045">
        <w:t>I</w:t>
      </w:r>
      <w:r w:rsidR="00867B11">
        <w:t>I</w:t>
      </w:r>
      <w:r w:rsidR="0065177C">
        <w:t xml:space="preserve">: </w:t>
      </w:r>
      <w:r w:rsidR="00477635">
        <w:t>Terms and Definitions</w:t>
      </w:r>
      <w:bookmarkEnd w:id="51"/>
      <w:bookmarkEnd w:id="52"/>
    </w:p>
    <w:p w14:paraId="4D1AC37E" w14:textId="77777777" w:rsidR="00A966A9" w:rsidRDefault="00A966A9" w:rsidP="00C21A33">
      <w:pPr>
        <w:spacing w:after="0" w:line="240" w:lineRule="auto"/>
        <w:jc w:val="both"/>
        <w:rPr>
          <w:highlight w:val="yellow"/>
        </w:rPr>
      </w:pPr>
    </w:p>
    <w:p w14:paraId="31A492E5" w14:textId="4AB0CBBE" w:rsidR="00B07369" w:rsidRPr="009C6045" w:rsidRDefault="00B07369" w:rsidP="00C21A33">
      <w:pPr>
        <w:spacing w:after="0" w:line="240" w:lineRule="auto"/>
        <w:jc w:val="both"/>
      </w:pPr>
      <w:r w:rsidRPr="009C6045">
        <w:rPr>
          <w:b/>
        </w:rPr>
        <w:t>Ability to convert or process</w:t>
      </w:r>
      <w:r w:rsidR="009C6045" w:rsidRPr="009C6045">
        <w:t xml:space="preserve">: </w:t>
      </w:r>
      <w:r w:rsidRPr="009C6045">
        <w:t xml:space="preserve">direct, in-house capability and is not applicable to companies that </w:t>
      </w:r>
      <w:r w:rsidRPr="009C6045">
        <w:rPr>
          <w:u w:val="single"/>
        </w:rPr>
        <w:t>wholly</w:t>
      </w:r>
      <w:r w:rsidRPr="009C6045">
        <w:t xml:space="preserve"> contract or sub-contract those processes.</w:t>
      </w:r>
    </w:p>
    <w:p w14:paraId="43057D5C" w14:textId="77777777" w:rsidR="00A966A9" w:rsidRDefault="00A966A9" w:rsidP="00C21A33">
      <w:pPr>
        <w:spacing w:after="0" w:line="240" w:lineRule="auto"/>
        <w:jc w:val="both"/>
        <w:rPr>
          <w:b/>
          <w:highlight w:val="yellow"/>
        </w:rPr>
      </w:pPr>
    </w:p>
    <w:p w14:paraId="3C994077" w14:textId="77777777" w:rsidR="00477635" w:rsidRDefault="00477635" w:rsidP="00C21A33">
      <w:pPr>
        <w:spacing w:after="0" w:line="240" w:lineRule="auto"/>
        <w:jc w:val="both"/>
      </w:pPr>
      <w:r w:rsidRPr="00634489">
        <w:rPr>
          <w:b/>
        </w:rPr>
        <w:t>Artisanal and Small-Scale Mining (ASM):</w:t>
      </w:r>
      <w:r>
        <w:t xml:space="preserve">  </w:t>
      </w:r>
      <w:r w:rsidRPr="00716F58">
        <w:t>“formal or informal mining operations with predominantly simplified forms of exploration, extraction, processing, and transportation. ASM is normally low capital intensive and uses high labor intensive technology. “ASM” can include men and women working on an individual basis as well as those working in family groups, in partnership, or as members of cooperatives or other types of legal associations and enterprises involving hundreds or even thousands of miners.”</w:t>
      </w:r>
      <w:r w:rsidRPr="00716F58">
        <w:rPr>
          <w:vertAlign w:val="superscript"/>
        </w:rPr>
        <w:footnoteReference w:id="17"/>
      </w:r>
    </w:p>
    <w:p w14:paraId="5B29D03C" w14:textId="77777777" w:rsidR="00A966A9" w:rsidRPr="00716F58" w:rsidRDefault="00A966A9" w:rsidP="00C21A33">
      <w:pPr>
        <w:spacing w:after="0" w:line="240" w:lineRule="auto"/>
        <w:jc w:val="both"/>
      </w:pPr>
    </w:p>
    <w:p w14:paraId="2CFB0B21" w14:textId="77777777" w:rsidR="00A966A9" w:rsidRDefault="00477635" w:rsidP="00C21A33">
      <w:pPr>
        <w:spacing w:after="0" w:line="240" w:lineRule="auto"/>
        <w:jc w:val="both"/>
      </w:pPr>
      <w:r w:rsidRPr="003C6BA3">
        <w:rPr>
          <w:b/>
        </w:rPr>
        <w:t>ARC:</w:t>
      </w:r>
      <w:r>
        <w:t xml:space="preserve">  Audit Review Committee. </w:t>
      </w:r>
      <w:r w:rsidRPr="003F306A">
        <w:t>The ARC reviews audit reports for consistency in implementing the audit protocol</w:t>
      </w:r>
      <w:r>
        <w:t xml:space="preserve"> and it makes a compliance determination</w:t>
      </w:r>
      <w:r w:rsidRPr="003F306A">
        <w:t>.</w:t>
      </w:r>
      <w:r>
        <w:t xml:space="preserve"> ARC also reviews corrective actions when completed.</w:t>
      </w:r>
    </w:p>
    <w:p w14:paraId="6E9EBF9D" w14:textId="77777777" w:rsidR="00A966A9" w:rsidRDefault="00A966A9" w:rsidP="00C21A33">
      <w:pPr>
        <w:spacing w:after="0" w:line="240" w:lineRule="auto"/>
        <w:jc w:val="both"/>
      </w:pPr>
    </w:p>
    <w:p w14:paraId="7C88AE49" w14:textId="35E6B446" w:rsidR="00477635" w:rsidRDefault="00477635" w:rsidP="00C21A33">
      <w:pPr>
        <w:spacing w:after="0" w:line="240" w:lineRule="auto"/>
        <w:jc w:val="both"/>
      </w:pPr>
      <w:r w:rsidRPr="00634489">
        <w:rPr>
          <w:b/>
        </w:rPr>
        <w:t>Audit period:</w:t>
      </w:r>
      <w:r>
        <w:t xml:space="preserve">  The period of time covered by the Line Item Summary, typically one year.</w:t>
      </w:r>
    </w:p>
    <w:p w14:paraId="7B3EFA5A" w14:textId="77777777" w:rsidR="00A966A9" w:rsidRDefault="00A966A9" w:rsidP="00C21A33">
      <w:pPr>
        <w:spacing w:after="0" w:line="240" w:lineRule="auto"/>
        <w:jc w:val="both"/>
      </w:pPr>
    </w:p>
    <w:p w14:paraId="22931677" w14:textId="1B07EAF2" w:rsidR="00477635" w:rsidRDefault="00A966A9" w:rsidP="00C21A33">
      <w:pPr>
        <w:spacing w:after="0" w:line="240" w:lineRule="auto"/>
        <w:jc w:val="both"/>
        <w:rPr>
          <w:b/>
        </w:rPr>
      </w:pPr>
      <w:r>
        <w:rPr>
          <w:b/>
        </w:rPr>
        <w:t xml:space="preserve">BSP: </w:t>
      </w:r>
      <w:r w:rsidR="00477635" w:rsidRPr="00A966A9">
        <w:t>Better Sourcing Program</w:t>
      </w:r>
    </w:p>
    <w:p w14:paraId="1C7979B6" w14:textId="77777777" w:rsidR="00A966A9" w:rsidRPr="007548E7" w:rsidRDefault="00A966A9" w:rsidP="00C21A33">
      <w:pPr>
        <w:spacing w:after="0" w:line="240" w:lineRule="auto"/>
        <w:jc w:val="both"/>
        <w:rPr>
          <w:b/>
        </w:rPr>
      </w:pPr>
    </w:p>
    <w:p w14:paraId="7FD19517" w14:textId="77777777" w:rsidR="00477635" w:rsidRDefault="00477635" w:rsidP="00C21A33">
      <w:pPr>
        <w:spacing w:after="0" w:line="240" w:lineRule="auto"/>
        <w:jc w:val="both"/>
      </w:pPr>
      <w:r>
        <w:rPr>
          <w:b/>
        </w:rPr>
        <w:t xml:space="preserve">Bill of Lading: </w:t>
      </w:r>
      <w:r w:rsidRPr="00735E81">
        <w:t>A document issued by a carrier, or its agent, to the shipper as a contract of carriage of goods. It is also a receipt for cargo accepted for transportation, and must be presented for taking delivery at the destination.</w:t>
      </w:r>
      <w:r>
        <w:rPr>
          <w:rStyle w:val="FootnoteReference"/>
        </w:rPr>
        <w:footnoteReference w:id="18"/>
      </w:r>
    </w:p>
    <w:p w14:paraId="28A9FDC7" w14:textId="77777777" w:rsidR="00A966A9" w:rsidRDefault="00A966A9" w:rsidP="00C21A33">
      <w:pPr>
        <w:spacing w:after="0" w:line="240" w:lineRule="auto"/>
        <w:jc w:val="both"/>
        <w:rPr>
          <w:b/>
        </w:rPr>
      </w:pPr>
    </w:p>
    <w:p w14:paraId="185E3CC7" w14:textId="5326546C" w:rsidR="00F414D3" w:rsidRDefault="00F414D3" w:rsidP="00C21A33">
      <w:pPr>
        <w:spacing w:after="0" w:line="240" w:lineRule="auto"/>
        <w:jc w:val="both"/>
      </w:pPr>
      <w:r w:rsidRPr="00D82B39">
        <w:rPr>
          <w:b/>
        </w:rPr>
        <w:t xml:space="preserve">CAHRAs: </w:t>
      </w:r>
      <w:r w:rsidRPr="00D82B39">
        <w:t>Conflict –Affected and High Risk Areas</w:t>
      </w:r>
      <w:r w:rsidR="002B258C" w:rsidRPr="00D82B39">
        <w:t>. A country where the mineral origin and / or supplier red flags of the OECD Supplement on Tin, Tantalum and Tungsten apply.</w:t>
      </w:r>
    </w:p>
    <w:p w14:paraId="483EB4C6" w14:textId="77777777" w:rsidR="00A966A9" w:rsidRPr="00F414D3" w:rsidRDefault="00A966A9" w:rsidP="00C21A33">
      <w:pPr>
        <w:spacing w:after="0" w:line="240" w:lineRule="auto"/>
        <w:jc w:val="both"/>
      </w:pPr>
    </w:p>
    <w:p w14:paraId="26518699" w14:textId="6E78EEE3" w:rsidR="00477635" w:rsidRDefault="00477635" w:rsidP="00C21A33">
      <w:pPr>
        <w:spacing w:after="0" w:line="240" w:lineRule="auto"/>
        <w:jc w:val="both"/>
      </w:pPr>
      <w:r w:rsidRPr="00634489">
        <w:rPr>
          <w:b/>
        </w:rPr>
        <w:t>Closing Inventory (declared):</w:t>
      </w:r>
      <w:r>
        <w:t xml:space="preserve">  Closing inventory at the Line Item Summary end date based on normal inventory calculation and reporting processes of the smelter</w:t>
      </w:r>
      <w:r w:rsidR="0080527A">
        <w:t>,</w:t>
      </w:r>
      <w:r>
        <w:t xml:space="preserve"> declared by </w:t>
      </w:r>
      <w:r w:rsidR="0080527A">
        <w:t>the smelter</w:t>
      </w:r>
      <w:r>
        <w:t xml:space="preserve">.  Inventory may be physical or calculated as appropriate for the business circumstances of the </w:t>
      </w:r>
      <w:r w:rsidR="008D7DCF">
        <w:t>smelter</w:t>
      </w:r>
      <w:r>
        <w:t>.</w:t>
      </w:r>
    </w:p>
    <w:p w14:paraId="595FB8BB" w14:textId="77777777" w:rsidR="00A966A9" w:rsidRDefault="00A966A9" w:rsidP="00C21A33">
      <w:pPr>
        <w:spacing w:after="0" w:line="240" w:lineRule="auto"/>
        <w:jc w:val="both"/>
      </w:pPr>
    </w:p>
    <w:p w14:paraId="20A55D26" w14:textId="01E4543B" w:rsidR="00477635" w:rsidRDefault="00477635" w:rsidP="00C21A33">
      <w:pPr>
        <w:spacing w:after="0" w:line="240" w:lineRule="auto"/>
        <w:jc w:val="both"/>
      </w:pPr>
      <w:r w:rsidRPr="00634489">
        <w:rPr>
          <w:b/>
        </w:rPr>
        <w:t>Closing Inventory (calculated):</w:t>
      </w:r>
      <w:r>
        <w:t xml:space="preserve">  Closing inventory at the Line Item Summary </w:t>
      </w:r>
      <w:r w:rsidR="0080527A">
        <w:t xml:space="preserve">(LIS) </w:t>
      </w:r>
      <w:r>
        <w:t>end date calculated by the auditor based on transactions reported over the audit period by the smelter.</w:t>
      </w:r>
    </w:p>
    <w:p w14:paraId="7C6C149D" w14:textId="77777777" w:rsidR="00A966A9" w:rsidRDefault="00A966A9" w:rsidP="00C21A33">
      <w:pPr>
        <w:spacing w:after="0" w:line="240" w:lineRule="auto"/>
        <w:jc w:val="both"/>
      </w:pPr>
    </w:p>
    <w:p w14:paraId="02F32BD0" w14:textId="77777777" w:rsidR="00477635" w:rsidRDefault="00477635" w:rsidP="00C21A33">
      <w:pPr>
        <w:spacing w:after="0" w:line="240" w:lineRule="auto"/>
        <w:jc w:val="both"/>
        <w:rPr>
          <w:b/>
        </w:rPr>
      </w:pPr>
      <w:r>
        <w:rPr>
          <w:b/>
        </w:rPr>
        <w:t xml:space="preserve">CFSI: </w:t>
      </w:r>
      <w:r w:rsidRPr="00A966A9">
        <w:t>Conflict-Free Sourcing Initiative</w:t>
      </w:r>
    </w:p>
    <w:p w14:paraId="1F2C2AA1" w14:textId="77777777" w:rsidR="00A966A9" w:rsidRDefault="00A966A9" w:rsidP="00C21A33">
      <w:pPr>
        <w:spacing w:after="0" w:line="240" w:lineRule="auto"/>
        <w:jc w:val="both"/>
        <w:rPr>
          <w:b/>
        </w:rPr>
      </w:pPr>
    </w:p>
    <w:p w14:paraId="45E47619" w14:textId="77777777" w:rsidR="00477635" w:rsidRDefault="00477635" w:rsidP="00C21A33">
      <w:pPr>
        <w:spacing w:after="0" w:line="240" w:lineRule="auto"/>
        <w:jc w:val="both"/>
      </w:pPr>
      <w:r w:rsidRPr="00634489">
        <w:rPr>
          <w:b/>
        </w:rPr>
        <w:t>CFS</w:t>
      </w:r>
      <w:r>
        <w:rPr>
          <w:b/>
        </w:rPr>
        <w:t>P</w:t>
      </w:r>
      <w:r w:rsidRPr="00634489">
        <w:rPr>
          <w:b/>
        </w:rPr>
        <w:t>:</w:t>
      </w:r>
      <w:r>
        <w:t xml:space="preserve">  Conflict-Free Smelter Program</w:t>
      </w:r>
    </w:p>
    <w:p w14:paraId="26477A51" w14:textId="77777777" w:rsidR="00A966A9" w:rsidRDefault="00A966A9" w:rsidP="00C21A33">
      <w:pPr>
        <w:spacing w:after="0" w:line="240" w:lineRule="auto"/>
        <w:jc w:val="both"/>
      </w:pPr>
    </w:p>
    <w:p w14:paraId="68936503" w14:textId="77777777" w:rsidR="00477635" w:rsidRDefault="00477635" w:rsidP="00C21A33">
      <w:pPr>
        <w:spacing w:after="0" w:line="240" w:lineRule="auto"/>
        <w:jc w:val="both"/>
      </w:pPr>
      <w:r w:rsidRPr="00F43879">
        <w:rPr>
          <w:b/>
        </w:rPr>
        <w:t>CoA:</w:t>
      </w:r>
      <w:r>
        <w:t xml:space="preserve">  Certificate of Analysis which will show production date, or in the case of non-registered metal brands, similar appropriate documentation. </w:t>
      </w:r>
    </w:p>
    <w:p w14:paraId="429D4406" w14:textId="77777777" w:rsidR="00A966A9" w:rsidRDefault="00A966A9" w:rsidP="00C21A33">
      <w:pPr>
        <w:spacing w:after="0" w:line="240" w:lineRule="auto"/>
        <w:jc w:val="both"/>
      </w:pPr>
    </w:p>
    <w:p w14:paraId="79972351" w14:textId="77777777" w:rsidR="00477635" w:rsidRDefault="00477635" w:rsidP="00C21A33">
      <w:pPr>
        <w:spacing w:after="0" w:line="240" w:lineRule="auto"/>
        <w:jc w:val="both"/>
      </w:pPr>
      <w:r w:rsidRPr="00634489">
        <w:rPr>
          <w:b/>
        </w:rPr>
        <w:t>"Conflict Minerals":</w:t>
      </w:r>
      <w:r>
        <w:t xml:space="preserve">  cassiterite, columbite-tantalite, gold, wolframite, or their derivatives, or any other minerals or their derivatives determined by the United States Secretary of State to be financing conflict in the covered countries (</w:t>
      </w:r>
      <w:r w:rsidRPr="003F306A">
        <w:t>referred to in this protocol as</w:t>
      </w:r>
      <w:r>
        <w:t xml:space="preserve"> Level 3 countries).</w:t>
      </w:r>
    </w:p>
    <w:p w14:paraId="2724CF5D" w14:textId="77777777" w:rsidR="00661AB4" w:rsidRDefault="00661AB4" w:rsidP="00C21A33">
      <w:pPr>
        <w:spacing w:after="0" w:line="240" w:lineRule="auto"/>
        <w:jc w:val="both"/>
        <w:rPr>
          <w:rFonts w:cs="Calibri"/>
          <w:b/>
        </w:rPr>
      </w:pPr>
    </w:p>
    <w:p w14:paraId="0FAD2152" w14:textId="36761904" w:rsidR="00DF35D7" w:rsidRDefault="00DF35D7" w:rsidP="00C21A33">
      <w:pPr>
        <w:spacing w:after="0" w:line="240" w:lineRule="auto"/>
        <w:jc w:val="both"/>
        <w:rPr>
          <w:rFonts w:cs="Calibri"/>
          <w:b/>
        </w:rPr>
      </w:pPr>
      <w:r w:rsidRPr="00502A81">
        <w:rPr>
          <w:rFonts w:cs="Calibri"/>
          <w:b/>
        </w:rPr>
        <w:t>Conflict-affected and high-risk areas</w:t>
      </w:r>
      <w:r w:rsidR="0012776C">
        <w:rPr>
          <w:rFonts w:cs="Calibri"/>
          <w:b/>
        </w:rPr>
        <w:t xml:space="preserve"> (CAHRAs)</w:t>
      </w:r>
      <w:r w:rsidRPr="00502A81">
        <w:rPr>
          <w:rFonts w:cs="Calibri"/>
          <w:b/>
        </w:rPr>
        <w:t>:</w:t>
      </w:r>
      <w:r>
        <w:rPr>
          <w:rFonts w:cs="Calibri"/>
          <w:b/>
        </w:rPr>
        <w:t xml:space="preserve"> </w:t>
      </w:r>
      <w:r w:rsidRPr="00502A81">
        <w:rPr>
          <w:rFonts w:cs="Calibri"/>
          <w:iCs/>
        </w:rPr>
        <w:t xml:space="preserve">Conflict-affected and high-risk areas </w:t>
      </w:r>
      <w:r w:rsidRPr="00502A81">
        <w:rPr>
          <w:rFonts w:cs="Calibri"/>
        </w:rPr>
        <w:t xml:space="preserve">are identified by the presence of armed conflict, widespread violence or other risks of harm to people. Armed conflict may take a variety of forms, such as a conflict of international or non-international character, which may involve two or more states, or may consist of wars of liberation, or insurgencies, civil wars, etc. </w:t>
      </w:r>
      <w:r w:rsidRPr="00502A81">
        <w:rPr>
          <w:rFonts w:cs="Calibri"/>
          <w:iCs/>
        </w:rPr>
        <w:t xml:space="preserve">High-risk areas </w:t>
      </w:r>
      <w:r w:rsidRPr="00502A81">
        <w:rPr>
          <w:rFonts w:cs="Calibri"/>
        </w:rPr>
        <w:t>may include areas of political instability or repression, institutional weakness, insecurity, collapse of civil infrastructure and widespread violence. Such areas are often characterized by widespread human rights abuses and violations of national or international law.</w:t>
      </w:r>
      <w:r w:rsidRPr="00677261">
        <w:rPr>
          <w:rFonts w:cs="Calibri"/>
          <w:i/>
        </w:rPr>
        <w:t xml:space="preserve"> </w:t>
      </w:r>
    </w:p>
    <w:p w14:paraId="6EDCFD0B" w14:textId="77777777" w:rsidR="00A65383" w:rsidRPr="00502A81" w:rsidRDefault="00A65383" w:rsidP="00C21A33">
      <w:pPr>
        <w:spacing w:after="0" w:line="240" w:lineRule="auto"/>
        <w:jc w:val="both"/>
        <w:rPr>
          <w:rFonts w:cs="Calibri"/>
          <w:b/>
        </w:rPr>
      </w:pPr>
    </w:p>
    <w:p w14:paraId="3632C49A" w14:textId="07A9164D" w:rsidR="00477635" w:rsidRDefault="0012776C" w:rsidP="00C21A33">
      <w:pPr>
        <w:spacing w:after="0" w:line="240" w:lineRule="auto"/>
        <w:jc w:val="both"/>
      </w:pPr>
      <w:r>
        <w:rPr>
          <w:b/>
        </w:rPr>
        <w:t>Critical Information</w:t>
      </w:r>
      <w:r w:rsidR="00477635">
        <w:rPr>
          <w:b/>
        </w:rPr>
        <w:t>:</w:t>
      </w:r>
      <w:r w:rsidR="00F7338F">
        <w:rPr>
          <w:b/>
        </w:rPr>
        <w:t xml:space="preserve"> </w:t>
      </w:r>
      <w:r w:rsidR="00705804">
        <w:t xml:space="preserve">For the purpose of this audit protocol, “critical information” refers to any and all information related to the smelter’s </w:t>
      </w:r>
      <w:r w:rsidR="00620FB2">
        <w:t xml:space="preserve">upstream assurance </w:t>
      </w:r>
      <w:r w:rsidR="00797885">
        <w:t>system</w:t>
      </w:r>
      <w:r w:rsidR="00705804">
        <w:t xml:space="preserve"> and that is necessary for any and all parties involved in the program, specifically employees and suppliers, to effectively carry out the tasks </w:t>
      </w:r>
      <w:r w:rsidR="00FD79D6">
        <w:t xml:space="preserve">and responsibilities </w:t>
      </w:r>
      <w:r w:rsidR="00705804">
        <w:t>assigned to them as part of the program.</w:t>
      </w:r>
    </w:p>
    <w:p w14:paraId="5C82AA58" w14:textId="77777777" w:rsidR="00A966A9" w:rsidRPr="00677261" w:rsidRDefault="00A966A9" w:rsidP="00C21A33">
      <w:pPr>
        <w:spacing w:after="0" w:line="240" w:lineRule="auto"/>
        <w:jc w:val="both"/>
      </w:pPr>
    </w:p>
    <w:p w14:paraId="0D6F564E" w14:textId="3EAF0674" w:rsidR="00477635" w:rsidRDefault="00477635" w:rsidP="00C21A33">
      <w:pPr>
        <w:spacing w:after="0" w:line="240" w:lineRule="auto"/>
        <w:jc w:val="both"/>
        <w:rPr>
          <w:rStyle w:val="Hyperlink"/>
        </w:rPr>
      </w:pPr>
      <w:r w:rsidRPr="00634489">
        <w:rPr>
          <w:b/>
        </w:rPr>
        <w:t>Dodd-Frank Wall Street Reform and Consumer Protection Act (Dodd Frank</w:t>
      </w:r>
      <w:r>
        <w:rPr>
          <w:b/>
        </w:rPr>
        <w:t xml:space="preserve"> Act</w:t>
      </w:r>
      <w:r w:rsidRPr="00634489">
        <w:rPr>
          <w:b/>
        </w:rPr>
        <w:t>):</w:t>
      </w:r>
      <w:r>
        <w:t xml:space="preserve">  A federal statute in the United States that was signed into law on July 21, 2010.  Section 1502 added Section 13(p) to the Securities Exchange Act of 1934, which requires the Securities and Exchange Commission to promulgate rules requiring issuers with conflict minerals that are necessary to the functionality or production of a product manufactured by such entity to disclose annually whether any of those materials originated in the Democratic Republic of the Congo or an adjoining country.</w:t>
      </w:r>
      <w:r>
        <w:br/>
      </w:r>
      <w:hyperlink r:id="rId15" w:history="1">
        <w:r w:rsidRPr="00716F58">
          <w:rPr>
            <w:rStyle w:val="Hyperlink"/>
          </w:rPr>
          <w:t>http://www.sec.gov/about/laws/wallstreetreform-cpa.pdf</w:t>
        </w:r>
      </w:hyperlink>
    </w:p>
    <w:p w14:paraId="5514556B" w14:textId="77777777" w:rsidR="001078D1" w:rsidRDefault="001078D1" w:rsidP="00C21A33">
      <w:pPr>
        <w:spacing w:after="0" w:line="240" w:lineRule="auto"/>
        <w:jc w:val="both"/>
        <w:rPr>
          <w:b/>
        </w:rPr>
      </w:pPr>
    </w:p>
    <w:p w14:paraId="034E9707" w14:textId="77777777" w:rsidR="00477635" w:rsidRDefault="00477635" w:rsidP="00C21A33">
      <w:pPr>
        <w:spacing w:after="0" w:line="240" w:lineRule="auto"/>
        <w:jc w:val="both"/>
      </w:pPr>
      <w:r w:rsidRPr="00634489">
        <w:rPr>
          <w:b/>
        </w:rPr>
        <w:t>EICC:</w:t>
      </w:r>
      <w:r>
        <w:t xml:space="preserve">  Electronic Industry Citizenship Coalition</w:t>
      </w:r>
    </w:p>
    <w:p w14:paraId="163B2D38" w14:textId="77777777" w:rsidR="00A966A9" w:rsidRDefault="00A966A9" w:rsidP="00C21A33">
      <w:pPr>
        <w:spacing w:after="0" w:line="240" w:lineRule="auto"/>
        <w:jc w:val="both"/>
      </w:pPr>
    </w:p>
    <w:p w14:paraId="79048CDB" w14:textId="3253CEDD" w:rsidR="00477635" w:rsidRDefault="00477635" w:rsidP="00C21A33">
      <w:pPr>
        <w:spacing w:after="0" w:line="240" w:lineRule="auto"/>
        <w:jc w:val="both"/>
      </w:pPr>
      <w:r w:rsidRPr="003443A0">
        <w:rPr>
          <w:b/>
        </w:rPr>
        <w:t>Estimated Losses:</w:t>
      </w:r>
      <w:r>
        <w:t xml:space="preserve">  Unrecoverable production losses.  Such losses in tin can be described as fume and fugitive losses; and in tantalum such losses can b</w:t>
      </w:r>
      <w:r w:rsidR="00F727C4">
        <w:t>e described as residual solid tantalum</w:t>
      </w:r>
      <w:r>
        <w:t xml:space="preserve"> in o</w:t>
      </w:r>
      <w:r w:rsidR="00F727C4">
        <w:t>re/scrap materials, dissolved tantalum in liquid waste streams, and tantalum</w:t>
      </w:r>
      <w:r>
        <w:t xml:space="preserve"> fines in waste streams.</w:t>
      </w:r>
    </w:p>
    <w:p w14:paraId="11737AD0" w14:textId="77777777" w:rsidR="00A966A9" w:rsidRDefault="00A966A9" w:rsidP="00C21A33">
      <w:pPr>
        <w:spacing w:after="0" w:line="240" w:lineRule="auto"/>
        <w:jc w:val="both"/>
      </w:pPr>
    </w:p>
    <w:p w14:paraId="3E9C98EF" w14:textId="77777777" w:rsidR="00477635" w:rsidRDefault="00477635" w:rsidP="00C21A33">
      <w:pPr>
        <w:spacing w:after="0" w:line="240" w:lineRule="auto"/>
        <w:jc w:val="both"/>
      </w:pPr>
      <w:r w:rsidRPr="00634489">
        <w:rPr>
          <w:b/>
        </w:rPr>
        <w:t>GeSI:</w:t>
      </w:r>
      <w:r>
        <w:t xml:space="preserve">  Global e-Sustainability Initiative</w:t>
      </w:r>
      <w:r w:rsidRPr="001501F7">
        <w:t xml:space="preserve"> </w:t>
      </w:r>
    </w:p>
    <w:p w14:paraId="42A6BB7D" w14:textId="77777777" w:rsidR="00A966A9" w:rsidRDefault="00A966A9" w:rsidP="00C21A33">
      <w:pPr>
        <w:spacing w:after="0" w:line="240" w:lineRule="auto"/>
        <w:jc w:val="both"/>
      </w:pPr>
    </w:p>
    <w:p w14:paraId="18A3DE78" w14:textId="77777777" w:rsidR="00477635" w:rsidRDefault="00477635" w:rsidP="00C21A33">
      <w:pPr>
        <w:spacing w:after="0" w:line="240" w:lineRule="auto"/>
        <w:jc w:val="both"/>
      </w:pPr>
      <w:r>
        <w:rPr>
          <w:b/>
        </w:rPr>
        <w:t>Immediate supplier</w:t>
      </w:r>
      <w:r w:rsidRPr="005B5620">
        <w:rPr>
          <w:b/>
        </w:rPr>
        <w:t>:</w:t>
      </w:r>
      <w:r>
        <w:t xml:space="preserve">  the company which is immediately before the smelter in the supply chain, which may be upstream producers such as a smelter, or downstream user, as well as traders.</w:t>
      </w:r>
    </w:p>
    <w:p w14:paraId="0D2E4200" w14:textId="77777777" w:rsidR="00A966A9" w:rsidRDefault="00A966A9" w:rsidP="00C21A33">
      <w:pPr>
        <w:spacing w:after="0" w:line="240" w:lineRule="auto"/>
        <w:jc w:val="both"/>
      </w:pPr>
    </w:p>
    <w:p w14:paraId="619A6CAC" w14:textId="77777777" w:rsidR="00477635" w:rsidRDefault="00477635" w:rsidP="00C21A33">
      <w:pPr>
        <w:spacing w:after="0" w:line="240" w:lineRule="auto"/>
        <w:jc w:val="both"/>
      </w:pPr>
      <w:r w:rsidRPr="00735E81">
        <w:rPr>
          <w:b/>
        </w:rPr>
        <w:t>Inland forwarding note:</w:t>
      </w:r>
      <w:r>
        <w:rPr>
          <w:b/>
        </w:rPr>
        <w:t xml:space="preserve"> </w:t>
      </w:r>
      <w:r w:rsidRPr="00735E81">
        <w:t>refers to a transportation document from the importing country to the smelter. It generally refers to overland transportation, but can refer to a document demonstrating transportation from the sea or air port to the smelter where a bill of lading or import record is unavailable.</w:t>
      </w:r>
    </w:p>
    <w:p w14:paraId="3C89CA9A" w14:textId="77777777" w:rsidR="00A966A9" w:rsidRPr="00735E81" w:rsidRDefault="00A966A9" w:rsidP="00C21A33">
      <w:pPr>
        <w:spacing w:after="0" w:line="240" w:lineRule="auto"/>
        <w:jc w:val="both"/>
        <w:rPr>
          <w:b/>
        </w:rPr>
      </w:pPr>
    </w:p>
    <w:p w14:paraId="7C47DC78" w14:textId="77777777" w:rsidR="00477635" w:rsidRDefault="00477635" w:rsidP="00C21A33">
      <w:pPr>
        <w:spacing w:after="0" w:line="240" w:lineRule="auto"/>
        <w:jc w:val="both"/>
      </w:pPr>
      <w:r w:rsidRPr="00761746">
        <w:rPr>
          <w:b/>
        </w:rPr>
        <w:t>Inventory</w:t>
      </w:r>
      <w:r w:rsidRPr="00761746">
        <w:t xml:space="preserve"> (whether calculated or declared)</w:t>
      </w:r>
      <w:r>
        <w:t>:</w:t>
      </w:r>
      <w:r w:rsidRPr="00761746">
        <w:t xml:space="preserve"> will include stocks of ore, secondary material, and finished product, work in progress materials not calculated in stocks, and similar material.</w:t>
      </w:r>
    </w:p>
    <w:p w14:paraId="6663C8AD" w14:textId="77777777" w:rsidR="0080527A" w:rsidRDefault="0080527A" w:rsidP="00C21A33">
      <w:pPr>
        <w:spacing w:after="0" w:line="240" w:lineRule="auto"/>
        <w:jc w:val="both"/>
        <w:rPr>
          <w:b/>
        </w:rPr>
      </w:pPr>
    </w:p>
    <w:p w14:paraId="6BE1ED90" w14:textId="77777777" w:rsidR="00477635" w:rsidRDefault="00477635" w:rsidP="00C21A33">
      <w:pPr>
        <w:spacing w:after="0" w:line="240" w:lineRule="auto"/>
        <w:jc w:val="both"/>
      </w:pPr>
      <w:r w:rsidRPr="005B5620">
        <w:rPr>
          <w:b/>
        </w:rPr>
        <w:t>iTSC</w:t>
      </w:r>
      <w:r>
        <w:rPr>
          <w:b/>
        </w:rPr>
        <w:t>i</w:t>
      </w:r>
      <w:r w:rsidRPr="005B5620">
        <w:rPr>
          <w:b/>
        </w:rPr>
        <w:t>:</w:t>
      </w:r>
      <w:r>
        <w:t xml:space="preserve">  ITRI Tin Supply Chain Initiative</w:t>
      </w:r>
    </w:p>
    <w:p w14:paraId="6F842B9B" w14:textId="77777777" w:rsidR="00A966A9" w:rsidRDefault="00A966A9" w:rsidP="00C21A33">
      <w:pPr>
        <w:spacing w:after="0" w:line="240" w:lineRule="auto"/>
        <w:jc w:val="both"/>
      </w:pPr>
    </w:p>
    <w:p w14:paraId="5563A4D2" w14:textId="77777777" w:rsidR="00477635" w:rsidRDefault="00477635" w:rsidP="00C21A33">
      <w:pPr>
        <w:spacing w:after="0" w:line="240" w:lineRule="auto"/>
        <w:jc w:val="both"/>
      </w:pPr>
      <w:r w:rsidRPr="00072E22">
        <w:rPr>
          <w:b/>
        </w:rPr>
        <w:t>Large Scale Mining (LSM):</w:t>
      </w:r>
      <w:r>
        <w:t xml:space="preserve">  For the purposes of this document this definition includes all formal operations characterized by substantial capital, heavy equipment, high technology and a significant workforce (large and medium in size) not considered to be within the ASM definition.</w:t>
      </w:r>
    </w:p>
    <w:p w14:paraId="382E9E85" w14:textId="77777777" w:rsidR="00A966A9" w:rsidRDefault="00A966A9" w:rsidP="00C21A33">
      <w:pPr>
        <w:spacing w:after="0" w:line="240" w:lineRule="auto"/>
        <w:jc w:val="both"/>
      </w:pPr>
    </w:p>
    <w:p w14:paraId="6AB701B3" w14:textId="3123FAE3" w:rsidR="00477635" w:rsidRDefault="00477635" w:rsidP="00C21A33">
      <w:pPr>
        <w:spacing w:after="0" w:line="240" w:lineRule="auto"/>
        <w:jc w:val="both"/>
      </w:pPr>
      <w:r>
        <w:rPr>
          <w:b/>
        </w:rPr>
        <w:lastRenderedPageBreak/>
        <w:t xml:space="preserve">Legacy Material: </w:t>
      </w:r>
      <w:r>
        <w:t>materials "outside the supply chain" prior to January 31, 2013</w:t>
      </w:r>
      <w:r w:rsidR="0080527A">
        <w:t>, also referred to as “grandfathered” materials</w:t>
      </w:r>
    </w:p>
    <w:p w14:paraId="19A64FE0" w14:textId="77777777" w:rsidR="00A966A9" w:rsidRDefault="00A966A9" w:rsidP="00C21A33">
      <w:pPr>
        <w:spacing w:after="0" w:line="240" w:lineRule="auto"/>
        <w:jc w:val="both"/>
        <w:rPr>
          <w:b/>
        </w:rPr>
      </w:pPr>
    </w:p>
    <w:p w14:paraId="09C92212" w14:textId="6EE2281E" w:rsidR="00477635" w:rsidRDefault="00477635" w:rsidP="00C21A33">
      <w:pPr>
        <w:spacing w:after="0" w:line="240" w:lineRule="auto"/>
        <w:jc w:val="both"/>
      </w:pPr>
      <w:r w:rsidRPr="005B5620">
        <w:rPr>
          <w:b/>
        </w:rPr>
        <w:t>Level 1 Country:</w:t>
      </w:r>
      <w:r>
        <w:t xml:space="preserve">  </w:t>
      </w:r>
      <w:r w:rsidR="002B258C">
        <w:t>A</w:t>
      </w:r>
      <w:r w:rsidR="002B258C" w:rsidRPr="00934FF8">
        <w:t xml:space="preserve"> country </w:t>
      </w:r>
      <w:r w:rsidR="002B258C">
        <w:t xml:space="preserve">that </w:t>
      </w:r>
      <w:r w:rsidR="002B258C" w:rsidRPr="003570C7">
        <w:t>is not identified as Level 2 or Level 3.</w:t>
      </w:r>
    </w:p>
    <w:p w14:paraId="1C53068A" w14:textId="77777777" w:rsidR="00A966A9" w:rsidRDefault="00A966A9" w:rsidP="00C21A33">
      <w:pPr>
        <w:spacing w:after="0" w:line="240" w:lineRule="auto"/>
        <w:jc w:val="both"/>
      </w:pPr>
    </w:p>
    <w:p w14:paraId="042CD18D" w14:textId="2FAC52DB" w:rsidR="00477635" w:rsidRPr="00D82B39" w:rsidRDefault="00477635" w:rsidP="00C21A33">
      <w:pPr>
        <w:spacing w:after="0" w:line="240" w:lineRule="auto"/>
        <w:jc w:val="both"/>
      </w:pPr>
      <w:r w:rsidRPr="00D82B39">
        <w:rPr>
          <w:b/>
        </w:rPr>
        <w:t>Level 2 Country:</w:t>
      </w:r>
      <w:r w:rsidRPr="00D82B39">
        <w:t xml:space="preserve"> </w:t>
      </w:r>
      <w:r w:rsidR="002B258C" w:rsidRPr="00D82B39">
        <w:t>A country where tin or tantalum materials from conflict-affected and high-risk areas are known to transit, legally or illegally.</w:t>
      </w:r>
      <w:r w:rsidRPr="00D82B39">
        <w:t xml:space="preserve">  This currently includes Kenya, Mozambique, and South Africa.</w:t>
      </w:r>
    </w:p>
    <w:p w14:paraId="5DC2EA60" w14:textId="77777777" w:rsidR="00A966A9" w:rsidRPr="00D82B39" w:rsidRDefault="00A966A9" w:rsidP="00C21A33">
      <w:pPr>
        <w:spacing w:after="0" w:line="240" w:lineRule="auto"/>
        <w:jc w:val="both"/>
      </w:pPr>
    </w:p>
    <w:p w14:paraId="466FCCDD" w14:textId="30B98FB8" w:rsidR="00477635" w:rsidRPr="00661AB4" w:rsidRDefault="00477635" w:rsidP="00C21A33">
      <w:pPr>
        <w:spacing w:after="0" w:line="240" w:lineRule="auto"/>
        <w:jc w:val="both"/>
      </w:pPr>
      <w:r w:rsidRPr="00D82B39">
        <w:rPr>
          <w:b/>
        </w:rPr>
        <w:t>Level 3 Country:</w:t>
      </w:r>
      <w:r w:rsidRPr="00D82B39">
        <w:t xml:space="preserve">  </w:t>
      </w:r>
      <w:r w:rsidR="00661AB4" w:rsidRPr="00D82B39">
        <w:t xml:space="preserve">A country where the mineral origin and / or supplier red flags of the OECD Supplement on Tin, Tantalum and Tungsten apply. This currently includes </w:t>
      </w:r>
      <w:r w:rsidRPr="00D82B39">
        <w:t>The Democratic Republic of the Congo (DRC) and its nine adjoining countries as outlined in Section 1502 of the Dodd Frank Act.  These include Angola, Burundi, Central African Republic, DRC, Republic of the Congo, Rwanda, South Sudan, Tanzania, Uganda, and Zambia.  These are also commonly referred to as "covered countries" in the Dodd Frank Act Section 1502.</w:t>
      </w:r>
    </w:p>
    <w:p w14:paraId="16BE997A" w14:textId="77777777" w:rsidR="002B258C" w:rsidRDefault="002B258C" w:rsidP="00C21A33">
      <w:pPr>
        <w:spacing w:after="0" w:line="240" w:lineRule="auto"/>
        <w:jc w:val="both"/>
      </w:pPr>
    </w:p>
    <w:p w14:paraId="4A130E6E" w14:textId="77777777" w:rsidR="00477635" w:rsidRDefault="00477635" w:rsidP="00C21A33">
      <w:pPr>
        <w:spacing w:after="0" w:line="240" w:lineRule="auto"/>
        <w:jc w:val="both"/>
      </w:pPr>
      <w:r w:rsidRPr="00072E22">
        <w:rPr>
          <w:b/>
        </w:rPr>
        <w:t>Line Item Summary (LIS):</w:t>
      </w:r>
      <w:r>
        <w:t xml:space="preserve">  A listing of all </w:t>
      </w:r>
      <w:r w:rsidRPr="004647EA">
        <w:t>inventory, receipts</w:t>
      </w:r>
      <w:r>
        <w:t xml:space="preserve"> and related documents in the audit period.</w:t>
      </w:r>
    </w:p>
    <w:p w14:paraId="2F800EE9" w14:textId="77777777" w:rsidR="0080527A" w:rsidRDefault="0080527A" w:rsidP="00C21A33">
      <w:pPr>
        <w:spacing w:after="0" w:line="240" w:lineRule="auto"/>
        <w:jc w:val="both"/>
      </w:pPr>
    </w:p>
    <w:p w14:paraId="581D6B20" w14:textId="30715C19" w:rsidR="00477635" w:rsidRDefault="00477635" w:rsidP="00C21A33">
      <w:pPr>
        <w:spacing w:after="0" w:line="240" w:lineRule="auto"/>
        <w:jc w:val="both"/>
      </w:pPr>
      <w:r w:rsidRPr="00A63A1E">
        <w:rPr>
          <w:b/>
        </w:rPr>
        <w:t>Mass balance:</w:t>
      </w:r>
      <w:r>
        <w:t xml:space="preserve">  Method by which auditors will </w:t>
      </w:r>
      <w:r w:rsidR="0080527A">
        <w:t xml:space="preserve">verify </w:t>
      </w:r>
      <w:r>
        <w:t>the quantity of material received and in inventory during the audit period matches that expected from the transaction records, taking into account the possible error margin of inventory, stock, and loss estimation.</w:t>
      </w:r>
    </w:p>
    <w:p w14:paraId="123062DB" w14:textId="77777777" w:rsidR="00A966A9" w:rsidRDefault="00A966A9" w:rsidP="00C21A33">
      <w:pPr>
        <w:spacing w:after="0" w:line="240" w:lineRule="auto"/>
        <w:jc w:val="both"/>
      </w:pPr>
    </w:p>
    <w:p w14:paraId="7BA38A4E" w14:textId="5DE4580E" w:rsidR="00477635" w:rsidRDefault="00477635" w:rsidP="00C21A33">
      <w:pPr>
        <w:spacing w:after="0" w:line="240" w:lineRule="auto"/>
        <w:jc w:val="both"/>
      </w:pPr>
      <w:r w:rsidRPr="00072E22">
        <w:rPr>
          <w:b/>
        </w:rPr>
        <w:t>Opening Inventory (declared):</w:t>
      </w:r>
      <w:r>
        <w:t xml:space="preserve">  Opening inventory at the start date of the LIS based on </w:t>
      </w:r>
      <w:r w:rsidRPr="004647EA">
        <w:t>the</w:t>
      </w:r>
      <w:r>
        <w:t xml:space="preserve"> inventory calculation and reporting processes of the smelter and declared by them.  Inventory may be physical or calculated as appropriate for the business circumstances of the </w:t>
      </w:r>
      <w:r w:rsidR="008D7DCF">
        <w:t>smelter</w:t>
      </w:r>
      <w:r>
        <w:t>.</w:t>
      </w:r>
    </w:p>
    <w:p w14:paraId="55D61D56" w14:textId="77777777" w:rsidR="00A966A9" w:rsidRDefault="00A966A9" w:rsidP="00C21A33">
      <w:pPr>
        <w:spacing w:after="0" w:line="240" w:lineRule="auto"/>
        <w:jc w:val="both"/>
      </w:pPr>
    </w:p>
    <w:p w14:paraId="4BFDD0D1" w14:textId="394637C4" w:rsidR="00477635" w:rsidRDefault="00477635" w:rsidP="00C21A33">
      <w:pPr>
        <w:spacing w:after="0" w:line="240" w:lineRule="auto"/>
        <w:jc w:val="both"/>
        <w:rPr>
          <w:rStyle w:val="Hyperlink"/>
        </w:rPr>
      </w:pPr>
      <w:r w:rsidRPr="00072E22">
        <w:rPr>
          <w:b/>
        </w:rPr>
        <w:t>OECD</w:t>
      </w:r>
      <w:r>
        <w:rPr>
          <w:b/>
        </w:rPr>
        <w:t xml:space="preserve"> Guidance</w:t>
      </w:r>
      <w:r w:rsidRPr="00072E22">
        <w:rPr>
          <w:b/>
        </w:rPr>
        <w:t>:</w:t>
      </w:r>
      <w:r>
        <w:t xml:space="preserve">  General term for the Organization for Economic Co-operation and Development Due Diligence Guidance for Responsible Supply Chains on Minerals from Conflict-Affected and High Risk Areas.</w:t>
      </w:r>
      <w:r w:rsidR="00A966A9">
        <w:t xml:space="preserve"> </w:t>
      </w:r>
      <w:hyperlink r:id="rId16" w:history="1">
        <w:r w:rsidRPr="00716F58">
          <w:rPr>
            <w:rStyle w:val="Hyperlink"/>
          </w:rPr>
          <w:t>http://www.oecd.org/daf/inv/mne/GuidanceEdition2.pdf</w:t>
        </w:r>
      </w:hyperlink>
      <w:r w:rsidR="00A966A9">
        <w:rPr>
          <w:rStyle w:val="Hyperlink"/>
        </w:rPr>
        <w:t>.</w:t>
      </w:r>
    </w:p>
    <w:p w14:paraId="3180E7B7" w14:textId="77777777" w:rsidR="00A966A9" w:rsidRDefault="00A966A9" w:rsidP="00C21A33">
      <w:pPr>
        <w:spacing w:after="0" w:line="240" w:lineRule="auto"/>
        <w:jc w:val="both"/>
      </w:pPr>
    </w:p>
    <w:p w14:paraId="6340ACC7" w14:textId="77777777" w:rsidR="00477635" w:rsidRDefault="00477635" w:rsidP="00C21A33">
      <w:pPr>
        <w:spacing w:after="0" w:line="240" w:lineRule="auto"/>
        <w:jc w:val="both"/>
      </w:pPr>
      <w:r w:rsidRPr="00072E22">
        <w:rPr>
          <w:b/>
        </w:rPr>
        <w:t>Origin:</w:t>
      </w:r>
      <w:r>
        <w:t xml:space="preserve">  The location where the ore was mined, to the best detail possible.  At a minimum the description must include the country, but province/state, city, mine site and mine name are further details that are helpful to locate the origin.</w:t>
      </w:r>
    </w:p>
    <w:p w14:paraId="76D9489B" w14:textId="77777777" w:rsidR="00A966A9" w:rsidRDefault="00A966A9" w:rsidP="00C21A33">
      <w:pPr>
        <w:spacing w:after="0" w:line="240" w:lineRule="auto"/>
        <w:jc w:val="both"/>
      </w:pPr>
    </w:p>
    <w:p w14:paraId="433139BE" w14:textId="77777777" w:rsidR="00477635" w:rsidRDefault="00477635" w:rsidP="00C21A33">
      <w:pPr>
        <w:spacing w:after="0" w:line="240" w:lineRule="auto"/>
        <w:jc w:val="both"/>
      </w:pPr>
      <w:r w:rsidRPr="00072E22">
        <w:rPr>
          <w:b/>
        </w:rPr>
        <w:t>Outside the supply chain:</w:t>
      </w:r>
      <w:r>
        <w:t xml:space="preserve">  Per the Dodd-Frank Act, this refers to conflict minerals that have been smelted or fully refined, or if they have not been smelted or fully refined, are outside the </w:t>
      </w:r>
      <w:r w:rsidRPr="004647EA">
        <w:t>Level 3 Countries, or “covered countries”</w:t>
      </w:r>
      <w:r>
        <w:t>, prior to January 31, 2013.</w:t>
      </w:r>
    </w:p>
    <w:p w14:paraId="5FD7E943" w14:textId="77777777" w:rsidR="00C4330A" w:rsidRDefault="00C4330A" w:rsidP="00C21A33">
      <w:pPr>
        <w:spacing w:after="0" w:line="240" w:lineRule="auto"/>
        <w:jc w:val="both"/>
        <w:rPr>
          <w:b/>
        </w:rPr>
      </w:pPr>
    </w:p>
    <w:p w14:paraId="5280F3A2" w14:textId="77777777" w:rsidR="00477635" w:rsidRDefault="00477635" w:rsidP="00C21A33">
      <w:pPr>
        <w:spacing w:after="0" w:line="240" w:lineRule="auto"/>
        <w:jc w:val="both"/>
      </w:pPr>
      <w:r w:rsidRPr="00F74ECC">
        <w:rPr>
          <w:b/>
        </w:rPr>
        <w:t>Product shipments:</w:t>
      </w:r>
      <w:r w:rsidRPr="002C5B60">
        <w:t xml:space="preserve"> </w:t>
      </w:r>
      <w:r>
        <w:t>Include a</w:t>
      </w:r>
      <w:r w:rsidRPr="002C5B60">
        <w:t xml:space="preserve">ny finished good, secondary, intermediate, semi-processed, or other materials that are sold and then shipped out of the facility during the audit period. </w:t>
      </w:r>
    </w:p>
    <w:p w14:paraId="513BA7E8" w14:textId="77777777" w:rsidR="00A966A9" w:rsidRDefault="00A966A9" w:rsidP="00C21A33">
      <w:pPr>
        <w:spacing w:after="0" w:line="240" w:lineRule="auto"/>
        <w:jc w:val="both"/>
        <w:rPr>
          <w:b/>
        </w:rPr>
      </w:pPr>
    </w:p>
    <w:p w14:paraId="380F5DE0" w14:textId="77777777" w:rsidR="00477635" w:rsidRDefault="00477635" w:rsidP="00C21A33">
      <w:pPr>
        <w:spacing w:after="0" w:line="240" w:lineRule="auto"/>
        <w:jc w:val="both"/>
      </w:pPr>
      <w:r w:rsidRPr="002F5ECF">
        <w:rPr>
          <w:b/>
        </w:rPr>
        <w:t>Receipts:</w:t>
      </w:r>
      <w:r w:rsidRPr="002F5ECF">
        <w:t xml:space="preserve"> all material received during the audit period.  To be used as part of the Mass Balance </w:t>
      </w:r>
      <w:r>
        <w:t>c</w:t>
      </w:r>
      <w:r w:rsidRPr="002F5ECF">
        <w:t>alculation</w:t>
      </w:r>
      <w:r>
        <w:t>.</w:t>
      </w:r>
    </w:p>
    <w:p w14:paraId="656E3D89" w14:textId="77777777" w:rsidR="00A966A9" w:rsidRDefault="00A966A9" w:rsidP="00C21A33">
      <w:pPr>
        <w:spacing w:after="0" w:line="240" w:lineRule="auto"/>
        <w:jc w:val="both"/>
      </w:pPr>
    </w:p>
    <w:p w14:paraId="07102757" w14:textId="11C44829" w:rsidR="0080527A" w:rsidRDefault="00477635" w:rsidP="00C21A33">
      <w:pPr>
        <w:spacing w:after="0" w:line="240" w:lineRule="auto"/>
        <w:jc w:val="both"/>
      </w:pPr>
      <w:r w:rsidRPr="00716F58">
        <w:rPr>
          <w:b/>
        </w:rPr>
        <w:lastRenderedPageBreak/>
        <w:t xml:space="preserve">Refining: </w:t>
      </w:r>
      <w:r w:rsidRPr="00716F58">
        <w:t xml:space="preserve">process of purification of </w:t>
      </w:r>
      <w:r w:rsidR="0012776C">
        <w:t>a (1) substance or a (2) form; t</w:t>
      </w:r>
      <w:r w:rsidRPr="00716F58">
        <w:t>he term is broad, and may include more drastic transformations, such as the reduction of ore to metal</w:t>
      </w:r>
      <w:r w:rsidRPr="00716F58">
        <w:rPr>
          <w:vertAlign w:val="superscript"/>
        </w:rPr>
        <w:footnoteReference w:id="19"/>
      </w:r>
    </w:p>
    <w:p w14:paraId="5786B893" w14:textId="77777777" w:rsidR="0080527A" w:rsidRDefault="0080527A" w:rsidP="00C21A33">
      <w:pPr>
        <w:spacing w:after="0" w:line="240" w:lineRule="auto"/>
        <w:jc w:val="both"/>
      </w:pPr>
    </w:p>
    <w:p w14:paraId="409133EA" w14:textId="11C1EBFB" w:rsidR="00477635" w:rsidRDefault="00477635" w:rsidP="00C21A33">
      <w:pPr>
        <w:spacing w:after="0" w:line="240" w:lineRule="auto"/>
        <w:jc w:val="both"/>
      </w:pPr>
      <w:r w:rsidRPr="00072E22">
        <w:rPr>
          <w:b/>
        </w:rPr>
        <w:t>RCOI:</w:t>
      </w:r>
      <w:r>
        <w:t xml:space="preserve">  Reasonable Country of Origin Inquiry</w:t>
      </w:r>
      <w:r w:rsidRPr="00F74ECC">
        <w:t>, a requirement of the Dodd Frank Act Section 1502</w:t>
      </w:r>
      <w:r>
        <w:t>.</w:t>
      </w:r>
    </w:p>
    <w:p w14:paraId="45A1A61B" w14:textId="77777777" w:rsidR="00A966A9" w:rsidRDefault="00A966A9" w:rsidP="00C21A33">
      <w:pPr>
        <w:spacing w:after="0" w:line="240" w:lineRule="auto"/>
        <w:jc w:val="both"/>
      </w:pPr>
    </w:p>
    <w:p w14:paraId="1D81742C" w14:textId="77777777" w:rsidR="00477635" w:rsidRDefault="00477635" w:rsidP="00C21A33">
      <w:pPr>
        <w:spacing w:after="0" w:line="240" w:lineRule="auto"/>
        <w:jc w:val="both"/>
        <w:rPr>
          <w:rStyle w:val="Hyperlink"/>
        </w:rPr>
      </w:pPr>
      <w:r w:rsidRPr="00716F58">
        <w:rPr>
          <w:b/>
        </w:rPr>
        <w:t>SEC Conflict Minerals Rule</w:t>
      </w:r>
      <w:r w:rsidRPr="00716F58">
        <w:t xml:space="preserve">: US Security and Exchange Commission Conflict Minerals Rule, </w:t>
      </w:r>
      <w:hyperlink r:id="rId17" w:history="1">
        <w:r w:rsidRPr="00716F58">
          <w:rPr>
            <w:rStyle w:val="Hyperlink"/>
          </w:rPr>
          <w:t>http://www.sec.gov/rules/final/2012/34-67716.pdf</w:t>
        </w:r>
      </w:hyperlink>
    </w:p>
    <w:p w14:paraId="62FE020D" w14:textId="77777777" w:rsidR="00A966A9" w:rsidRDefault="00A966A9" w:rsidP="00C21A33">
      <w:pPr>
        <w:spacing w:after="0" w:line="240" w:lineRule="auto"/>
        <w:jc w:val="both"/>
        <w:rPr>
          <w:b/>
        </w:rPr>
      </w:pPr>
    </w:p>
    <w:p w14:paraId="0A527F80" w14:textId="77777777" w:rsidR="00477635" w:rsidRDefault="00477635" w:rsidP="00C21A33">
      <w:pPr>
        <w:spacing w:after="0" w:line="240" w:lineRule="auto"/>
        <w:jc w:val="both"/>
      </w:pPr>
      <w:r w:rsidRPr="00072E22">
        <w:rPr>
          <w:b/>
        </w:rPr>
        <w:t>Secondary Materials:</w:t>
      </w:r>
      <w:r>
        <w:t xml:space="preserve">  Commonly referred to as recycle/scrap. Recycled metals as defined by the OECD Guidance, and referenced by the U.S. Securities and Exchange Commission are 'reclaimed end-user or post-consumer products, or scrap processed metals created during product manufacturing including: excess, obsolete, defective, and scrap metal materials which contain refined or processed metals that are appropriate to recycle in the production of tin/tantalum.  As defined by the OECD Guidance, minerals partially processed, unprocessed, or a byproduct from another ore (for example,, slags) are not recycled materials.  See </w:t>
      </w:r>
      <w:r w:rsidRPr="00CE32C2">
        <w:t>Annex B</w:t>
      </w:r>
      <w:r>
        <w:t xml:space="preserve"> for additional examples.</w:t>
      </w:r>
    </w:p>
    <w:p w14:paraId="2FCCE871" w14:textId="77777777" w:rsidR="00A966A9" w:rsidRDefault="00A966A9" w:rsidP="00C21A33">
      <w:pPr>
        <w:spacing w:after="0" w:line="240" w:lineRule="auto"/>
        <w:jc w:val="both"/>
      </w:pPr>
    </w:p>
    <w:p w14:paraId="19F1F7DE" w14:textId="5C190FBE" w:rsidR="00477635" w:rsidRDefault="00477635" w:rsidP="00C21A33">
      <w:pPr>
        <w:spacing w:after="0" w:line="240" w:lineRule="auto"/>
        <w:jc w:val="both"/>
      </w:pPr>
      <w:r>
        <w:rPr>
          <w:b/>
        </w:rPr>
        <w:t>Supplying smelter</w:t>
      </w:r>
      <w:r w:rsidRPr="00072E22">
        <w:rPr>
          <w:b/>
        </w:rPr>
        <w:t>:</w:t>
      </w:r>
      <w:r>
        <w:t xml:space="preserve">  When a </w:t>
      </w:r>
      <w:r w:rsidR="008D7DCF">
        <w:t>smelter</w:t>
      </w:r>
      <w:r>
        <w:t xml:space="preserve"> receives material from another entity, the supplying smelter is the last point in the supply chain in which the material was processed.  Trading companies and other pass-through segments of the supply chain would not be considered supplying smelters.</w:t>
      </w:r>
    </w:p>
    <w:p w14:paraId="322E284D" w14:textId="77777777" w:rsidR="00A966A9" w:rsidRDefault="00A966A9" w:rsidP="00C21A33">
      <w:pPr>
        <w:spacing w:after="0" w:line="240" w:lineRule="auto"/>
        <w:jc w:val="both"/>
      </w:pPr>
    </w:p>
    <w:p w14:paraId="72BEB31F" w14:textId="77777777" w:rsidR="00477635" w:rsidRDefault="00477635" w:rsidP="00C21A33">
      <w:pPr>
        <w:spacing w:after="0" w:line="240" w:lineRule="auto"/>
        <w:jc w:val="both"/>
      </w:pPr>
      <w:r w:rsidRPr="00B008F9">
        <w:rPr>
          <w:b/>
        </w:rPr>
        <w:t>Tantalum intermediate products:</w:t>
      </w:r>
      <w:r>
        <w:t xml:space="preserve"> powder, ingot, sintered bars, tantalum hydroxides, in process scrap (processor level), K2TaF7 (also known as K-salt or "KTaF"), Ta unrefined powders and other Ta containing products for further processing.</w:t>
      </w:r>
    </w:p>
    <w:p w14:paraId="65CE30AC" w14:textId="77777777" w:rsidR="00A966A9" w:rsidRDefault="00A966A9" w:rsidP="00C21A33">
      <w:pPr>
        <w:spacing w:after="0" w:line="240" w:lineRule="auto"/>
        <w:jc w:val="both"/>
      </w:pPr>
    </w:p>
    <w:p w14:paraId="18EAA44D" w14:textId="77777777" w:rsidR="00477635" w:rsidRDefault="00477635" w:rsidP="00C21A33">
      <w:pPr>
        <w:spacing w:after="0" w:line="240" w:lineRule="auto"/>
        <w:jc w:val="both"/>
      </w:pPr>
      <w:r w:rsidRPr="00A63A1E">
        <w:rPr>
          <w:b/>
        </w:rPr>
        <w:t>Tolling:</w:t>
      </w:r>
      <w:r>
        <w:t xml:space="preserve">  A transaction where materials are processed by a smelter on behalf of a client who retains ownership of the agreed to elements and/or volume of those materials. </w:t>
      </w:r>
      <w:r w:rsidRPr="00716F58">
        <w:t>This includes a conversion of the overall makeup of the materials including the treatment or removal of specific undesirable elements (</w:t>
      </w:r>
      <w:r>
        <w:t>for example,</w:t>
      </w:r>
      <w:r w:rsidRPr="00716F58">
        <w:t xml:space="preserve"> radioactivity, arsenic, etc.).  </w:t>
      </w:r>
    </w:p>
    <w:p w14:paraId="407BBB53" w14:textId="77777777" w:rsidR="00A966A9" w:rsidRDefault="00A966A9" w:rsidP="00C21A33">
      <w:pPr>
        <w:spacing w:after="0" w:line="240" w:lineRule="auto"/>
        <w:jc w:val="both"/>
      </w:pPr>
    </w:p>
    <w:p w14:paraId="7CADD125" w14:textId="77777777" w:rsidR="00477635" w:rsidRDefault="00477635" w:rsidP="00C21A33">
      <w:pPr>
        <w:spacing w:after="0" w:line="240" w:lineRule="auto"/>
        <w:jc w:val="both"/>
      </w:pPr>
      <w:r w:rsidRPr="00B008F9">
        <w:rPr>
          <w:b/>
        </w:rPr>
        <w:t xml:space="preserve">Total </w:t>
      </w:r>
      <w:r>
        <w:rPr>
          <w:b/>
        </w:rPr>
        <w:t>material</w:t>
      </w:r>
      <w:r w:rsidRPr="00B008F9">
        <w:rPr>
          <w:b/>
        </w:rPr>
        <w:t xml:space="preserve"> processed:</w:t>
      </w:r>
      <w:r>
        <w:t xml:space="preserve">  With respect to the mass balance calculation, this term refers to total metal content of the material processed by the smelter during the audit period.  This will include as relevant ore, secondary material and internal recycle/reclaim, whether the smelter’s own material or material received for toll processing.</w:t>
      </w:r>
    </w:p>
    <w:p w14:paraId="4B6B08E4" w14:textId="3961A9DC" w:rsidR="00B570DC" w:rsidRDefault="00477635" w:rsidP="00C21A33">
      <w:pPr>
        <w:spacing w:after="0" w:line="240" w:lineRule="auto"/>
        <w:jc w:val="both"/>
      </w:pPr>
      <w:r>
        <w:t xml:space="preserve"> </w:t>
      </w:r>
    </w:p>
    <w:p w14:paraId="72BE3748" w14:textId="77777777" w:rsidR="00B570DC" w:rsidRDefault="00B570DC" w:rsidP="00C21A33">
      <w:pPr>
        <w:spacing w:after="0" w:line="240" w:lineRule="auto"/>
        <w:jc w:val="both"/>
      </w:pPr>
      <w:r>
        <w:br w:type="page"/>
      </w:r>
    </w:p>
    <w:p w14:paraId="21259213" w14:textId="77777777" w:rsidR="00477635" w:rsidRDefault="00477635" w:rsidP="00C21A33">
      <w:pPr>
        <w:spacing w:after="0" w:line="240" w:lineRule="auto"/>
        <w:jc w:val="both"/>
      </w:pPr>
    </w:p>
    <w:p w14:paraId="3D1D66E0" w14:textId="0213C766" w:rsidR="003F01EC" w:rsidRDefault="000D191C" w:rsidP="00C21A33">
      <w:pPr>
        <w:pStyle w:val="Heading2"/>
        <w:numPr>
          <w:ilvl w:val="0"/>
          <w:numId w:val="0"/>
        </w:numPr>
        <w:spacing w:before="0"/>
        <w:jc w:val="both"/>
      </w:pPr>
      <w:bookmarkStart w:id="53" w:name="_Toc315084493"/>
      <w:bookmarkStart w:id="54" w:name="_Toc450308542"/>
      <w:r>
        <w:t>Annex</w:t>
      </w:r>
      <w:r w:rsidR="00E84EBB">
        <w:t xml:space="preserve"> VIII</w:t>
      </w:r>
      <w:r w:rsidR="0065177C">
        <w:t xml:space="preserve">: </w:t>
      </w:r>
      <w:r w:rsidR="003F01EC">
        <w:t>References</w:t>
      </w:r>
      <w:bookmarkEnd w:id="53"/>
      <w:bookmarkEnd w:id="54"/>
    </w:p>
    <w:p w14:paraId="0C7EB6B4" w14:textId="77777777" w:rsidR="00B570DC" w:rsidRPr="00B570DC" w:rsidRDefault="00B570DC" w:rsidP="00A63D07">
      <w:pPr>
        <w:spacing w:after="0" w:line="240" w:lineRule="auto"/>
        <w:jc w:val="both"/>
      </w:pPr>
    </w:p>
    <w:p w14:paraId="2C00752B" w14:textId="4F75A4B1" w:rsidR="003F01EC" w:rsidRPr="009C6045" w:rsidRDefault="009C6045" w:rsidP="00A63D07">
      <w:pPr>
        <w:spacing w:after="0"/>
        <w:jc w:val="both"/>
        <w:rPr>
          <w:b/>
        </w:rPr>
      </w:pPr>
      <w:r w:rsidRPr="009C6045">
        <w:rPr>
          <w:b/>
        </w:rPr>
        <w:t>Audit Program Documents</w:t>
      </w:r>
    </w:p>
    <w:p w14:paraId="289BCBA3" w14:textId="77777777" w:rsidR="003F01EC" w:rsidRDefault="003F01EC" w:rsidP="006256DB">
      <w:pPr>
        <w:pStyle w:val="ListParagraph"/>
        <w:numPr>
          <w:ilvl w:val="0"/>
          <w:numId w:val="6"/>
        </w:numPr>
        <w:spacing w:after="0" w:line="240" w:lineRule="auto"/>
        <w:jc w:val="both"/>
      </w:pPr>
      <w:r>
        <w:t xml:space="preserve">Audit procedure:  </w:t>
      </w:r>
      <w:hyperlink r:id="rId18" w:history="1">
        <w:r w:rsidRPr="003930AD">
          <w:rPr>
            <w:rStyle w:val="Hyperlink"/>
          </w:rPr>
          <w:t>www.conflictfreesmelter.org/documents/AuditProcedure_SnTa.pdf</w:t>
        </w:r>
      </w:hyperlink>
      <w:r>
        <w:t xml:space="preserve"> </w:t>
      </w:r>
    </w:p>
    <w:p w14:paraId="7BDFFDF5" w14:textId="77777777" w:rsidR="003F01EC" w:rsidRDefault="003F01EC" w:rsidP="006256DB">
      <w:pPr>
        <w:pStyle w:val="ListParagraph"/>
        <w:numPr>
          <w:ilvl w:val="0"/>
          <w:numId w:val="6"/>
        </w:numPr>
        <w:spacing w:after="0" w:line="240" w:lineRule="auto"/>
        <w:jc w:val="both"/>
      </w:pPr>
      <w:r>
        <w:t xml:space="preserve">Line Item Summary:  </w:t>
      </w:r>
      <w:hyperlink r:id="rId19" w:history="1">
        <w:r w:rsidRPr="003930AD">
          <w:rPr>
            <w:rStyle w:val="Hyperlink"/>
          </w:rPr>
          <w:t>www.conflictfreesmelter.org/documents/LineItemSummary_SnTa.xlsx</w:t>
        </w:r>
      </w:hyperlink>
      <w:r>
        <w:t xml:space="preserve"> </w:t>
      </w:r>
    </w:p>
    <w:p w14:paraId="5B1EA6B9" w14:textId="77777777" w:rsidR="003F01EC" w:rsidRDefault="003F01EC" w:rsidP="006256DB">
      <w:pPr>
        <w:pStyle w:val="ListParagraph"/>
        <w:numPr>
          <w:ilvl w:val="0"/>
          <w:numId w:val="6"/>
        </w:numPr>
        <w:spacing w:after="0" w:line="240" w:lineRule="auto"/>
      </w:pPr>
      <w:r>
        <w:t xml:space="preserve">Pre-audit checklist : </w:t>
      </w:r>
      <w:hyperlink r:id="rId20" w:history="1">
        <w:r w:rsidRPr="003930AD">
          <w:rPr>
            <w:rStyle w:val="Hyperlink"/>
          </w:rPr>
          <w:t>www.conflictfreesmelter.org/documents/CompanyPreAuditChecklist_SnTa.docx</w:t>
        </w:r>
      </w:hyperlink>
      <w:r>
        <w:t xml:space="preserve"> </w:t>
      </w:r>
    </w:p>
    <w:p w14:paraId="41EEF7D3" w14:textId="77777777" w:rsidR="003F01EC" w:rsidRDefault="003F01EC" w:rsidP="006256DB">
      <w:pPr>
        <w:pStyle w:val="ListParagraph"/>
        <w:numPr>
          <w:ilvl w:val="0"/>
          <w:numId w:val="6"/>
        </w:numPr>
        <w:spacing w:after="0" w:line="240" w:lineRule="auto"/>
        <w:jc w:val="both"/>
      </w:pPr>
      <w:r>
        <w:t xml:space="preserve">Audit Checklist:  </w:t>
      </w:r>
      <w:hyperlink r:id="rId21" w:history="1">
        <w:r w:rsidRPr="003930AD">
          <w:rPr>
            <w:rStyle w:val="Hyperlink"/>
          </w:rPr>
          <w:t>www.conflictfreesmelter.org/documents/AuditChecklist_SnTa.docx</w:t>
        </w:r>
      </w:hyperlink>
      <w:r>
        <w:t xml:space="preserve"> </w:t>
      </w:r>
    </w:p>
    <w:p w14:paraId="07A633B8" w14:textId="77777777" w:rsidR="003F01EC" w:rsidRDefault="003F01EC" w:rsidP="006256DB">
      <w:pPr>
        <w:pStyle w:val="ListParagraph"/>
        <w:numPr>
          <w:ilvl w:val="0"/>
          <w:numId w:val="6"/>
        </w:numPr>
        <w:spacing w:after="0" w:line="240" w:lineRule="auto"/>
        <w:jc w:val="both"/>
      </w:pPr>
      <w:r>
        <w:t xml:space="preserve">Template AECI and agreements:  </w:t>
      </w:r>
      <w:hyperlink r:id="rId22" w:history="1">
        <w:r w:rsidRPr="003930AD">
          <w:rPr>
            <w:rStyle w:val="Hyperlink"/>
          </w:rPr>
          <w:t>www.conflictfreesmelter.org/documents/AECI_AA.zip</w:t>
        </w:r>
      </w:hyperlink>
      <w:r>
        <w:t xml:space="preserve"> </w:t>
      </w:r>
    </w:p>
    <w:p w14:paraId="276DF5CF" w14:textId="77777777" w:rsidR="00A966A9" w:rsidRDefault="00A966A9" w:rsidP="00A63D07">
      <w:pPr>
        <w:pStyle w:val="ListParagraph"/>
        <w:spacing w:after="0" w:line="240" w:lineRule="auto"/>
        <w:jc w:val="both"/>
      </w:pPr>
    </w:p>
    <w:p w14:paraId="0E1ADA10" w14:textId="77777777" w:rsidR="003F01EC" w:rsidRPr="00A63D07" w:rsidRDefault="003F01EC" w:rsidP="00A63D07">
      <w:pPr>
        <w:spacing w:after="0"/>
        <w:jc w:val="both"/>
        <w:rPr>
          <w:b/>
        </w:rPr>
      </w:pPr>
      <w:bookmarkStart w:id="55" w:name="_Toc315084495"/>
      <w:r w:rsidRPr="00A63D07">
        <w:rPr>
          <w:b/>
        </w:rPr>
        <w:t>External Reference Documents</w:t>
      </w:r>
      <w:bookmarkEnd w:id="55"/>
    </w:p>
    <w:p w14:paraId="372C3E7A" w14:textId="77777777" w:rsidR="003F01EC" w:rsidRDefault="003F01EC" w:rsidP="006256DB">
      <w:pPr>
        <w:pStyle w:val="ListParagraph"/>
        <w:numPr>
          <w:ilvl w:val="0"/>
          <w:numId w:val="5"/>
        </w:numPr>
        <w:spacing w:after="0" w:line="240" w:lineRule="auto"/>
      </w:pPr>
      <w:r>
        <w:t xml:space="preserve">OECD Due Diligence Guidance for Responsible Supply Chains on Minerals from Conflict-Affected and High-Risk Areas:  </w:t>
      </w:r>
      <w:hyperlink r:id="rId23" w:history="1">
        <w:r w:rsidRPr="00B762DB">
          <w:rPr>
            <w:rStyle w:val="Hyperlink"/>
          </w:rPr>
          <w:t>http://www.oecd.org/daf/inv/mne/GuidanceEdition2.pdf</w:t>
        </w:r>
      </w:hyperlink>
    </w:p>
    <w:p w14:paraId="37659DAC" w14:textId="77777777" w:rsidR="003F01EC" w:rsidRDefault="003F01EC" w:rsidP="006256DB">
      <w:pPr>
        <w:pStyle w:val="ListParagraph"/>
        <w:numPr>
          <w:ilvl w:val="0"/>
          <w:numId w:val="5"/>
        </w:numPr>
        <w:spacing w:after="0" w:line="240" w:lineRule="auto"/>
      </w:pPr>
      <w:r>
        <w:t xml:space="preserve">Dodd Frank Wall Street Reform and Consumer Protection Act, Section 1502:  </w:t>
      </w:r>
      <w:hyperlink r:id="rId24" w:history="1">
        <w:r>
          <w:rPr>
            <w:rStyle w:val="Hyperlink"/>
          </w:rPr>
          <w:t>http://www.sec.gov/about/laws/wallstreetreform-cpa.pdf</w:t>
        </w:r>
      </w:hyperlink>
    </w:p>
    <w:p w14:paraId="25CB3144" w14:textId="0C09D341" w:rsidR="003F01EC" w:rsidRDefault="003F01EC" w:rsidP="006256DB">
      <w:pPr>
        <w:pStyle w:val="ListParagraph"/>
        <w:numPr>
          <w:ilvl w:val="0"/>
          <w:numId w:val="5"/>
        </w:numPr>
        <w:spacing w:after="0" w:line="240" w:lineRule="auto"/>
      </w:pPr>
      <w:r>
        <w:t xml:space="preserve">US Security and Exchange Commission Conflict Minerals Rule:  </w:t>
      </w:r>
      <w:hyperlink r:id="rId25" w:history="1">
        <w:r>
          <w:rPr>
            <w:rStyle w:val="Hyperlink"/>
          </w:rPr>
          <w:t>http://www.sec.gov/rules/final/2012/34-67716.pdf</w:t>
        </w:r>
      </w:hyperlink>
    </w:p>
    <w:p w14:paraId="7EBBCBB2" w14:textId="4D88C6EA" w:rsidR="000A558D" w:rsidRPr="00677261" w:rsidRDefault="003F01EC" w:rsidP="006256DB">
      <w:pPr>
        <w:pStyle w:val="ListParagraph"/>
        <w:numPr>
          <w:ilvl w:val="0"/>
          <w:numId w:val="5"/>
        </w:numPr>
        <w:spacing w:after="0" w:line="240" w:lineRule="auto"/>
        <w:rPr>
          <w:rStyle w:val="Hyperlink"/>
          <w:color w:val="auto"/>
          <w:u w:val="none"/>
        </w:rPr>
      </w:pPr>
      <w:r w:rsidRPr="003F01EC">
        <w:rPr>
          <w:lang w:val="fr-FR"/>
        </w:rPr>
        <w:t xml:space="preserve">UN Guidance: </w:t>
      </w:r>
      <w:hyperlink r:id="rId26" w:history="1">
        <w:r w:rsidRPr="003F01EC">
          <w:rPr>
            <w:rStyle w:val="Hyperlink"/>
            <w:lang w:val="fr-FR"/>
          </w:rPr>
          <w:t>http://www.un.org/sc/committees/1533/egroupguidelines.shtml</w:t>
        </w:r>
      </w:hyperlink>
    </w:p>
    <w:p w14:paraId="230BF607" w14:textId="77777777" w:rsidR="00E53367" w:rsidRDefault="00E53367" w:rsidP="00C21A33">
      <w:pPr>
        <w:spacing w:after="0" w:line="240" w:lineRule="auto"/>
        <w:jc w:val="both"/>
      </w:pPr>
    </w:p>
    <w:p w14:paraId="015E5B06" w14:textId="11BCF672" w:rsidR="00A63D07" w:rsidRPr="00A63D07" w:rsidRDefault="00A63D07" w:rsidP="00C21A33">
      <w:pPr>
        <w:spacing w:after="0" w:line="240" w:lineRule="auto"/>
        <w:jc w:val="both"/>
        <w:rPr>
          <w:b/>
        </w:rPr>
      </w:pPr>
      <w:r w:rsidRPr="00A63D07">
        <w:rPr>
          <w:b/>
        </w:rPr>
        <w:t>Upstream Assurance Programs</w:t>
      </w:r>
    </w:p>
    <w:p w14:paraId="1BD6B8C4" w14:textId="66096432" w:rsidR="00A63D07" w:rsidRDefault="00A63D07" w:rsidP="006256DB">
      <w:pPr>
        <w:pStyle w:val="ListParagraph"/>
        <w:numPr>
          <w:ilvl w:val="0"/>
          <w:numId w:val="58"/>
        </w:numPr>
        <w:spacing w:after="0" w:line="240" w:lineRule="auto"/>
        <w:jc w:val="both"/>
      </w:pPr>
      <w:r>
        <w:t xml:space="preserve">List of currently approved upstream assurance programs can be found here: </w:t>
      </w:r>
      <w:r w:rsidRPr="00A63D07">
        <w:rPr>
          <w:highlight w:val="yellow"/>
        </w:rPr>
        <w:t>INCLUDE LINK</w:t>
      </w:r>
    </w:p>
    <w:p w14:paraId="1947307C" w14:textId="4BD53FE3" w:rsidR="000D191C" w:rsidRDefault="000D191C">
      <w:r>
        <w:br w:type="page"/>
      </w:r>
    </w:p>
    <w:p w14:paraId="44F54E93" w14:textId="7D6A11C4" w:rsidR="00477635" w:rsidRDefault="000D191C" w:rsidP="00C21A33">
      <w:pPr>
        <w:pStyle w:val="Heading2"/>
        <w:numPr>
          <w:ilvl w:val="0"/>
          <w:numId w:val="0"/>
        </w:numPr>
        <w:spacing w:before="0"/>
        <w:jc w:val="both"/>
      </w:pPr>
      <w:bookmarkStart w:id="56" w:name="_Toc315084496"/>
      <w:bookmarkStart w:id="57" w:name="_Toc450308543"/>
      <w:r>
        <w:lastRenderedPageBreak/>
        <w:t>Annex</w:t>
      </w:r>
      <w:r w:rsidR="0065177C">
        <w:t xml:space="preserve"> </w:t>
      </w:r>
      <w:r w:rsidR="00E84EBB">
        <w:t>I</w:t>
      </w:r>
      <w:r w:rsidR="00867B11">
        <w:t>X</w:t>
      </w:r>
      <w:r w:rsidR="0065177C">
        <w:t xml:space="preserve">: </w:t>
      </w:r>
      <w:r w:rsidR="00477635">
        <w:t>Effective Date</w:t>
      </w:r>
      <w:r w:rsidR="0065177C">
        <w:t xml:space="preserve"> &amp; </w:t>
      </w:r>
      <w:bookmarkEnd w:id="56"/>
      <w:r w:rsidR="00E020B3">
        <w:t>Revision History</w:t>
      </w:r>
      <w:bookmarkEnd w:id="57"/>
    </w:p>
    <w:p w14:paraId="065BC79C" w14:textId="77777777" w:rsidR="00B570DC" w:rsidRDefault="00B570DC" w:rsidP="00C21A33">
      <w:pPr>
        <w:spacing w:after="0" w:line="240" w:lineRule="auto"/>
        <w:jc w:val="both"/>
        <w:rPr>
          <w:bCs/>
          <w:lang w:val="en-GB"/>
        </w:rPr>
      </w:pPr>
    </w:p>
    <w:p w14:paraId="11D43EBD" w14:textId="232A358A" w:rsidR="00477635" w:rsidRPr="001E443A" w:rsidRDefault="00477635" w:rsidP="00C21A33">
      <w:pPr>
        <w:spacing w:after="0" w:line="240" w:lineRule="auto"/>
        <w:jc w:val="both"/>
        <w:rPr>
          <w:bCs/>
          <w:lang w:val="en-GB"/>
        </w:rPr>
      </w:pPr>
      <w:r w:rsidRPr="001E443A">
        <w:rPr>
          <w:bCs/>
          <w:lang w:val="en-GB"/>
        </w:rPr>
        <w:t>Th</w:t>
      </w:r>
      <w:r>
        <w:rPr>
          <w:bCs/>
          <w:lang w:val="en-GB"/>
        </w:rPr>
        <w:t>is</w:t>
      </w:r>
      <w:r w:rsidRPr="001E443A">
        <w:rPr>
          <w:bCs/>
          <w:lang w:val="en-GB"/>
        </w:rPr>
        <w:t xml:space="preserve"> revision of th</w:t>
      </w:r>
      <w:r>
        <w:rPr>
          <w:bCs/>
          <w:lang w:val="en-GB"/>
        </w:rPr>
        <w:t>e</w:t>
      </w:r>
      <w:r w:rsidRPr="001E443A">
        <w:rPr>
          <w:bCs/>
          <w:lang w:val="en-GB"/>
        </w:rPr>
        <w:t xml:space="preserve"> audit protocol</w:t>
      </w:r>
      <w:r>
        <w:rPr>
          <w:bCs/>
          <w:lang w:val="en-GB"/>
        </w:rPr>
        <w:t xml:space="preserve"> replaces all prior versions and</w:t>
      </w:r>
      <w:r w:rsidRPr="001E443A">
        <w:rPr>
          <w:bCs/>
          <w:lang w:val="en-GB"/>
        </w:rPr>
        <w:t xml:space="preserve"> is in effect as of the date identified</w:t>
      </w:r>
      <w:r>
        <w:rPr>
          <w:bCs/>
          <w:lang w:val="en-GB"/>
        </w:rPr>
        <w:t xml:space="preserve"> on the cover page as the “Effective Date.”  For those audits already scheduled prior to the “Effective Date,” the </w:t>
      </w:r>
      <w:r w:rsidR="008D7DCF">
        <w:rPr>
          <w:bCs/>
          <w:lang w:val="en-GB"/>
        </w:rPr>
        <w:t>smelter</w:t>
      </w:r>
      <w:r>
        <w:rPr>
          <w:bCs/>
          <w:lang w:val="en-GB"/>
        </w:rPr>
        <w:t xml:space="preserve"> will have the option of conducting their audit using either the prior or current versions of the audit protocol.  All audits scheduled after the “Effective Date” must use the most current version of the audit protocol which is ide</w:t>
      </w:r>
      <w:r w:rsidR="0064150D">
        <w:rPr>
          <w:bCs/>
          <w:lang w:val="en-GB"/>
        </w:rPr>
        <w:t>ntified by the</w:t>
      </w:r>
      <w:r>
        <w:rPr>
          <w:bCs/>
          <w:lang w:val="en-GB"/>
        </w:rPr>
        <w:t xml:space="preserve"> “Publication Date” on the cover page of each revision.  </w:t>
      </w:r>
    </w:p>
    <w:p w14:paraId="0582632E" w14:textId="690AB58F" w:rsidR="00720EDE" w:rsidRDefault="00720EDE" w:rsidP="00C21A33">
      <w:pPr>
        <w:spacing w:after="0" w:line="240" w:lineRule="auto"/>
        <w:jc w:val="both"/>
      </w:pPr>
    </w:p>
    <w:p w14:paraId="76238465" w14:textId="43AE3523" w:rsidR="00505FC2" w:rsidRDefault="009C6045" w:rsidP="00C21A33">
      <w:pPr>
        <w:pStyle w:val="Heading2"/>
        <w:numPr>
          <w:ilvl w:val="0"/>
          <w:numId w:val="0"/>
        </w:numPr>
        <w:jc w:val="both"/>
      </w:pPr>
      <w:bookmarkStart w:id="58" w:name="_Toc315084497"/>
      <w:bookmarkStart w:id="59" w:name="_Toc450308544"/>
      <w:r>
        <w:t xml:space="preserve">Annex X: </w:t>
      </w:r>
      <w:r w:rsidR="00720EDE">
        <w:t>Revision History</w:t>
      </w:r>
      <w:bookmarkEnd w:id="58"/>
      <w:bookmarkEnd w:id="59"/>
    </w:p>
    <w:p w14:paraId="0A05684B" w14:textId="77777777" w:rsidR="00B570DC" w:rsidRDefault="00B570DC" w:rsidP="00C21A33">
      <w:pPr>
        <w:spacing w:after="0" w:line="240" w:lineRule="auto"/>
        <w:jc w:val="both"/>
      </w:pPr>
    </w:p>
    <w:p w14:paraId="234FC341" w14:textId="5493273F" w:rsidR="00A966A9" w:rsidRDefault="0002635B" w:rsidP="00C21A33">
      <w:pPr>
        <w:spacing w:after="0" w:line="240" w:lineRule="auto"/>
        <w:jc w:val="both"/>
      </w:pPr>
      <w:r w:rsidRPr="0064150D">
        <w:rPr>
          <w:highlight w:val="yellow"/>
        </w:rPr>
        <w:t>Rev X</w:t>
      </w:r>
      <w:r>
        <w:t xml:space="preserve"> 201</w:t>
      </w:r>
      <w:r w:rsidR="007548E7">
        <w:t>6</w:t>
      </w:r>
      <w:r>
        <w:t xml:space="preserve"> –</w:t>
      </w:r>
      <w:r w:rsidR="007548E7">
        <w:t xml:space="preserve"> </w:t>
      </w:r>
      <w:r w:rsidR="0064150D">
        <w:t>Includes expanded definition of conflict affected and high-risk areas, aligned to OE</w:t>
      </w:r>
      <w:r w:rsidR="007548E7">
        <w:t xml:space="preserve">CD </w:t>
      </w:r>
      <w:r w:rsidR="0064150D">
        <w:t xml:space="preserve">guidance and 5-step process, improved definitions for companies in scope, clarified origin determination </w:t>
      </w:r>
      <w:r w:rsidR="007548E7">
        <w:t xml:space="preserve">requirements, </w:t>
      </w:r>
      <w:r w:rsidR="0064150D">
        <w:t xml:space="preserve">removal of procedural aspects, </w:t>
      </w:r>
      <w:r w:rsidR="007548E7">
        <w:t>r</w:t>
      </w:r>
      <w:r w:rsidR="0064150D">
        <w:t>eformatted.</w:t>
      </w:r>
    </w:p>
    <w:p w14:paraId="63EFE55B" w14:textId="77777777" w:rsidR="00A966A9" w:rsidRDefault="00A966A9" w:rsidP="00C21A33">
      <w:pPr>
        <w:spacing w:after="0" w:line="240" w:lineRule="auto"/>
        <w:jc w:val="both"/>
      </w:pPr>
    </w:p>
    <w:p w14:paraId="15AAD975" w14:textId="77777777" w:rsidR="00720EDE" w:rsidRDefault="00720EDE" w:rsidP="00C21A33">
      <w:pPr>
        <w:spacing w:after="0" w:line="240" w:lineRule="auto"/>
        <w:jc w:val="both"/>
      </w:pPr>
      <w:r>
        <w:t xml:space="preserve">Rev </w:t>
      </w:r>
      <w:r w:rsidR="00347FF7" w:rsidRPr="00894BA7">
        <w:t>2</w:t>
      </w:r>
      <w:r w:rsidR="00894BA7" w:rsidRPr="00894BA7">
        <w:t>1</w:t>
      </w:r>
      <w:r w:rsidR="00347FF7">
        <w:t xml:space="preserve"> </w:t>
      </w:r>
      <w:r w:rsidR="0015750D">
        <w:t xml:space="preserve">November </w:t>
      </w:r>
      <w:r>
        <w:t xml:space="preserve">2013 - </w:t>
      </w:r>
      <w:r w:rsidR="001D6F1E">
        <w:t>R</w:t>
      </w:r>
      <w:r w:rsidR="00B02AE3">
        <w:t>eformatted</w:t>
      </w:r>
      <w:r w:rsidR="00056242">
        <w:t>, re</w:t>
      </w:r>
      <w:r w:rsidR="00B02AE3">
        <w:t>organized</w:t>
      </w:r>
      <w:r w:rsidR="00056242">
        <w:t xml:space="preserve"> and improved language of the</w:t>
      </w:r>
      <w:r w:rsidR="001D6F1E">
        <w:t xml:space="preserve"> entire document</w:t>
      </w:r>
      <w:r w:rsidR="00B02AE3">
        <w:t xml:space="preserve">.  </w:t>
      </w:r>
      <w:r w:rsidR="001D6F1E">
        <w:t>Added s</w:t>
      </w:r>
      <w:r w:rsidR="00245AC2">
        <w:t xml:space="preserve">everal new introductory sections </w:t>
      </w:r>
      <w:r w:rsidR="001D6F1E">
        <w:t>P</w:t>
      </w:r>
      <w:r w:rsidR="00245AC2">
        <w:t xml:space="preserve">urpose, Scope, </w:t>
      </w:r>
      <w:r w:rsidR="00347FF7">
        <w:t xml:space="preserve">Definitions, </w:t>
      </w:r>
      <w:r w:rsidR="00245AC2">
        <w:t>etc.</w:t>
      </w:r>
      <w:r w:rsidR="00347FF7">
        <w:t xml:space="preserve">  Enhanced tin and tantalum smelter definitions.  Added a</w:t>
      </w:r>
      <w:r w:rsidR="00056242">
        <w:t>n</w:t>
      </w:r>
      <w:r w:rsidR="00347FF7">
        <w:t xml:space="preserve"> </w:t>
      </w:r>
      <w:r w:rsidR="00056242">
        <w:t xml:space="preserve">Applicability and Origin Determination Process Flow.  Shifted to a document expectation focus versus a document type focus.  Added a document expectation table.  Added a Level 1 document sampling methodology.  Added allowances for supplying smelters, but new startup smelters as well as transitional smelters trying to get into the audit program.  Removed tungsten to a separate protocol.  </w:t>
      </w:r>
      <w:r w:rsidR="001D6F1E">
        <w:t xml:space="preserve">Removed the </w:t>
      </w:r>
      <w:r w:rsidR="00245AC2">
        <w:t xml:space="preserve">requirement for auditors to conduct an internal lot traceability </w:t>
      </w:r>
      <w:r w:rsidR="001D6F1E">
        <w:t>exercise (</w:t>
      </w:r>
      <w:r w:rsidR="00245AC2">
        <w:t>from finished product to incoming lots</w:t>
      </w:r>
      <w:r w:rsidR="00347FF7">
        <w:t>).</w:t>
      </w:r>
      <w:r w:rsidR="00894BA7">
        <w:t xml:space="preserve">  Change the tantalum initial audit period to by one year.</w:t>
      </w:r>
    </w:p>
    <w:p w14:paraId="053ECF3F" w14:textId="77777777" w:rsidR="00A966A9" w:rsidRDefault="00A966A9" w:rsidP="00C21A33">
      <w:pPr>
        <w:spacing w:after="0" w:line="240" w:lineRule="auto"/>
        <w:jc w:val="both"/>
      </w:pPr>
    </w:p>
    <w:p w14:paraId="56652A14" w14:textId="2B24F0C0" w:rsidR="00720EDE" w:rsidRDefault="00720EDE" w:rsidP="00C21A33">
      <w:pPr>
        <w:spacing w:after="0" w:line="240" w:lineRule="auto"/>
        <w:jc w:val="both"/>
      </w:pPr>
      <w:r>
        <w:t>Rev 21 December 2012:  Merged tin, tantalum and tungsten protocols into one 3T's document.  Separated the audit procedure into a separate document.  Major reorganization of the content from prior document revisions.  Removal of the list of smelters.   Addition of secondary materials sampling procedure.  Merger of formal level 2B and Level 3 country expectations into a new Level 3, and renaming of Level 2A countries to Level 2.  Major realignment of Level 3 documentation requirements with the OECD guidance.  Establishment and revision of documentation expectation dates for stocks (legacy materials) and partially-processed an</w:t>
      </w:r>
      <w:r w:rsidR="005F460A">
        <w:t>d</w:t>
      </w:r>
      <w:r>
        <w:t xml:space="preserve"> byproduct materials (</w:t>
      </w:r>
      <w:r w:rsidR="00DE140B">
        <w:t>for example,</w:t>
      </w:r>
      <w:r>
        <w:t xml:space="preserve"> slag)</w:t>
      </w:r>
      <w:r w:rsidR="00B02AE3">
        <w:t>.</w:t>
      </w:r>
    </w:p>
    <w:p w14:paraId="55A148AD" w14:textId="77777777" w:rsidR="00A966A9" w:rsidRDefault="00A966A9" w:rsidP="00C21A33">
      <w:pPr>
        <w:spacing w:after="0" w:line="240" w:lineRule="auto"/>
        <w:jc w:val="both"/>
      </w:pPr>
    </w:p>
    <w:p w14:paraId="020C3389" w14:textId="77777777" w:rsidR="00720EDE" w:rsidRDefault="00720EDE" w:rsidP="00C21A33">
      <w:pPr>
        <w:spacing w:after="0" w:line="240" w:lineRule="auto"/>
        <w:jc w:val="both"/>
      </w:pPr>
      <w:r>
        <w:t>Rev 15 September 2011 (Sn), 09 Aug 2011 (W), 15 Jan 2011 (Ta) - initial release of protocols.</w:t>
      </w:r>
    </w:p>
    <w:p w14:paraId="19668E07" w14:textId="77777777" w:rsidR="009F7957" w:rsidRPr="008433CE" w:rsidRDefault="009F7957" w:rsidP="00C21A33">
      <w:pPr>
        <w:spacing w:after="0" w:line="240" w:lineRule="auto"/>
        <w:jc w:val="both"/>
      </w:pPr>
    </w:p>
    <w:sectPr w:rsidR="009F7957" w:rsidRPr="008433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5761" w14:textId="77777777" w:rsidR="008C5973" w:rsidRDefault="008C5973">
      <w:pPr>
        <w:spacing w:after="0" w:line="240" w:lineRule="auto"/>
      </w:pPr>
      <w:r>
        <w:separator/>
      </w:r>
    </w:p>
  </w:endnote>
  <w:endnote w:type="continuationSeparator" w:id="0">
    <w:p w14:paraId="4F3081C9" w14:textId="77777777" w:rsidR="008C5973" w:rsidRDefault="008C5973">
      <w:pPr>
        <w:spacing w:after="0" w:line="240" w:lineRule="auto"/>
      </w:pPr>
      <w:r>
        <w:continuationSeparator/>
      </w:r>
    </w:p>
  </w:endnote>
  <w:endnote w:type="continuationNotice" w:id="1">
    <w:p w14:paraId="14FD9555" w14:textId="77777777" w:rsidR="008C5973" w:rsidRDefault="008C5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7E03" w14:textId="77777777" w:rsidR="00E90ECF" w:rsidRPr="00B8550E" w:rsidRDefault="00E90ECF" w:rsidP="007548E7">
    <w:pPr>
      <w:pStyle w:val="Footer"/>
      <w:rPr>
        <w:color w:val="1C2674"/>
        <w:sz w:val="16"/>
        <w:szCs w:val="16"/>
      </w:rPr>
    </w:pPr>
    <w:r w:rsidRPr="00B8550E">
      <w:rPr>
        <w:color w:val="1C2674"/>
        <w:sz w:val="16"/>
        <w:szCs w:val="16"/>
      </w:rPr>
      <w:t>An initiative of the Electronic Industry Citizenship Coalition and the Global e-Sustainability Initiative</w:t>
    </w:r>
  </w:p>
  <w:p w14:paraId="242F2716" w14:textId="77777777" w:rsidR="00E90ECF" w:rsidRDefault="00E90ECF" w:rsidP="005C630B">
    <w:pPr>
      <w:pStyle w:val="Footer"/>
      <w:tabs>
        <w:tab w:val="right" w:pos="9360"/>
      </w:tabs>
    </w:pPr>
    <w:r>
      <w:tab/>
    </w:r>
    <w:r>
      <w:tab/>
    </w:r>
    <w:r>
      <w:tab/>
    </w:r>
    <w:r>
      <w:fldChar w:fldCharType="begin"/>
    </w:r>
    <w:r>
      <w:instrText xml:space="preserve"> PAGE   \* MERGEFORMAT </w:instrText>
    </w:r>
    <w:r>
      <w:fldChar w:fldCharType="separate"/>
    </w:r>
    <w:r w:rsidR="007817B3">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EC64" w14:textId="77777777" w:rsidR="008C5973" w:rsidRDefault="008C5973">
      <w:pPr>
        <w:spacing w:after="0" w:line="240" w:lineRule="auto"/>
      </w:pPr>
      <w:r>
        <w:separator/>
      </w:r>
    </w:p>
  </w:footnote>
  <w:footnote w:type="continuationSeparator" w:id="0">
    <w:p w14:paraId="211B93D1" w14:textId="77777777" w:rsidR="008C5973" w:rsidRDefault="008C5973">
      <w:pPr>
        <w:spacing w:after="0" w:line="240" w:lineRule="auto"/>
      </w:pPr>
      <w:r>
        <w:continuationSeparator/>
      </w:r>
    </w:p>
  </w:footnote>
  <w:footnote w:type="continuationNotice" w:id="1">
    <w:p w14:paraId="0EC56663" w14:textId="77777777" w:rsidR="008C5973" w:rsidRDefault="008C5973">
      <w:pPr>
        <w:spacing w:after="0" w:line="240" w:lineRule="auto"/>
      </w:pPr>
    </w:p>
  </w:footnote>
  <w:footnote w:id="2">
    <w:p w14:paraId="59D6552F" w14:textId="04AA9D0C" w:rsidR="00E90ECF" w:rsidRDefault="00E90ECF">
      <w:pPr>
        <w:pStyle w:val="FootnoteText"/>
      </w:pPr>
      <w:r>
        <w:rPr>
          <w:rStyle w:val="FootnoteReference"/>
        </w:rPr>
        <w:footnoteRef/>
      </w:r>
      <w:r>
        <w:t xml:space="preserve"> Information on current cross-recognized programs can be found here: </w:t>
      </w:r>
      <w:r w:rsidRPr="00C20DCC">
        <w:rPr>
          <w:highlight w:val="yellow"/>
        </w:rPr>
        <w:t>INSERT WEBLNK</w:t>
      </w:r>
      <w:r>
        <w:t>.</w:t>
      </w:r>
    </w:p>
  </w:footnote>
  <w:footnote w:id="3">
    <w:p w14:paraId="68924CEF" w14:textId="77777777" w:rsidR="00E90ECF" w:rsidRDefault="00E90ECF" w:rsidP="00B935E1">
      <w:pPr>
        <w:pStyle w:val="FootnoteText"/>
      </w:pPr>
      <w:r>
        <w:rPr>
          <w:rStyle w:val="FootnoteReference"/>
        </w:rPr>
        <w:footnoteRef/>
      </w:r>
      <w:r>
        <w:t xml:space="preserve"> A company classified as a secondary smelter may not in the normal course of business treat cassiterite but does have the capability to do so.</w:t>
      </w:r>
    </w:p>
  </w:footnote>
  <w:footnote w:id="4">
    <w:p w14:paraId="0FFD92B3" w14:textId="77777777" w:rsidR="00E90ECF" w:rsidRDefault="00E90ECF" w:rsidP="00B935E1">
      <w:pPr>
        <w:pStyle w:val="FootnoteText"/>
      </w:pPr>
      <w:r>
        <w:rPr>
          <w:rStyle w:val="FootnoteReference"/>
        </w:rPr>
        <w:footnoteRef/>
      </w:r>
      <w:r>
        <w:t xml:space="preserve"> Recyclers of solder dross and similar oxide based materials with the capability to perform reduction to metallic tin would be classified as a secondary smelter.</w:t>
      </w:r>
    </w:p>
  </w:footnote>
  <w:footnote w:id="5">
    <w:p w14:paraId="16CA0F39" w14:textId="67262A86" w:rsidR="00E90ECF" w:rsidRDefault="00E90ECF">
      <w:pPr>
        <w:pStyle w:val="FootnoteText"/>
      </w:pPr>
      <w:r>
        <w:rPr>
          <w:rStyle w:val="FootnoteReference"/>
        </w:rPr>
        <w:footnoteRef/>
      </w:r>
      <w:r>
        <w:t xml:space="preserve"> </w:t>
      </w:r>
      <w:r w:rsidRPr="00B07369">
        <w:t xml:space="preserve">More information </w:t>
      </w:r>
      <w:r>
        <w:t xml:space="preserve">about the downstream assessment </w:t>
      </w:r>
      <w:r w:rsidRPr="00B07369">
        <w:t xml:space="preserve">can be found here </w:t>
      </w:r>
      <w:r>
        <w:rPr>
          <w:highlight w:val="yellow"/>
        </w:rPr>
        <w:t>INSERT WEBLINK</w:t>
      </w:r>
      <w:r w:rsidRPr="00B07369">
        <w:rPr>
          <w:highlight w:val="yellow"/>
        </w:rPr>
        <w:t>.</w:t>
      </w:r>
    </w:p>
  </w:footnote>
  <w:footnote w:id="6">
    <w:p w14:paraId="24C75034" w14:textId="117A2E86" w:rsidR="00E90ECF" w:rsidRDefault="00E90ECF" w:rsidP="00671AA0">
      <w:pPr>
        <w:pStyle w:val="FootnoteText"/>
      </w:pPr>
      <w:r>
        <w:rPr>
          <w:rStyle w:val="FootnoteReference"/>
        </w:rPr>
        <w:footnoteRef/>
      </w:r>
      <w:r>
        <w:t xml:space="preserve"> Sintered bars of &lt;10% Ta-contained made exclusively from slags of &lt;2% tin are excluded from the scope of the compliance audit. A purchaser of this type of bar would only need documentation similar to secondary materials.</w:t>
      </w:r>
    </w:p>
  </w:footnote>
  <w:footnote w:id="7">
    <w:p w14:paraId="173F8894" w14:textId="161AA132" w:rsidR="00E90ECF" w:rsidRPr="00DC628C" w:rsidRDefault="00E90ECF" w:rsidP="009F1FF4">
      <w:pPr>
        <w:pStyle w:val="FootnoteText"/>
        <w:rPr>
          <w:sz w:val="18"/>
          <w:szCs w:val="18"/>
        </w:rPr>
      </w:pPr>
      <w:r w:rsidRPr="00677261">
        <w:rPr>
          <w:rStyle w:val="FootnoteReference"/>
          <w:sz w:val="18"/>
          <w:szCs w:val="18"/>
        </w:rPr>
        <w:footnoteRef/>
      </w:r>
      <w:r w:rsidRPr="00677261">
        <w:rPr>
          <w:sz w:val="18"/>
          <w:szCs w:val="18"/>
        </w:rPr>
        <w:t xml:space="preserve"> Subject to all requir</w:t>
      </w:r>
      <w:r>
        <w:rPr>
          <w:sz w:val="18"/>
          <w:szCs w:val="18"/>
        </w:rPr>
        <w:t xml:space="preserve">ed data points being included, smelters </w:t>
      </w:r>
      <w:r w:rsidRPr="00677261">
        <w:rPr>
          <w:sz w:val="18"/>
          <w:szCs w:val="18"/>
        </w:rPr>
        <w:t xml:space="preserve">may replace the </w:t>
      </w:r>
      <w:r>
        <w:rPr>
          <w:sz w:val="18"/>
          <w:szCs w:val="18"/>
        </w:rPr>
        <w:t xml:space="preserve">LIS </w:t>
      </w:r>
      <w:r w:rsidRPr="00677261">
        <w:rPr>
          <w:sz w:val="18"/>
          <w:szCs w:val="18"/>
        </w:rPr>
        <w:t>for a similar format to present the data on all transactions within the audit period. The samples selected and reviewed by the auditor must be presented in the</w:t>
      </w:r>
      <w:r>
        <w:rPr>
          <w:sz w:val="18"/>
          <w:szCs w:val="18"/>
        </w:rPr>
        <w:t xml:space="preserve"> LIS</w:t>
      </w:r>
      <w:r w:rsidRPr="00677261">
        <w:rPr>
          <w:sz w:val="18"/>
          <w:szCs w:val="18"/>
        </w:rPr>
        <w:t>.</w:t>
      </w:r>
    </w:p>
  </w:footnote>
  <w:footnote w:id="8">
    <w:p w14:paraId="1AE5B81F" w14:textId="777103F7" w:rsidR="00E90ECF" w:rsidRDefault="00E90ECF">
      <w:pPr>
        <w:pStyle w:val="FootnoteText"/>
      </w:pPr>
      <w:r>
        <w:rPr>
          <w:rStyle w:val="FootnoteReference"/>
        </w:rPr>
        <w:footnoteRef/>
      </w:r>
      <w:r>
        <w:t xml:space="preserve"> </w:t>
      </w:r>
      <w:r w:rsidRPr="0070255A">
        <w:rPr>
          <w:highlight w:val="yellow"/>
        </w:rPr>
        <w:t>Update list based on recent research and documented criteria.</w:t>
      </w:r>
      <w:r>
        <w:t xml:space="preserve"> </w:t>
      </w:r>
    </w:p>
  </w:footnote>
  <w:footnote w:id="9">
    <w:p w14:paraId="03DE88BE" w14:textId="0B308092" w:rsidR="00E90ECF" w:rsidRDefault="00E90ECF" w:rsidP="008F2CAC">
      <w:pPr>
        <w:pStyle w:val="FootnoteText"/>
        <w:jc w:val="both"/>
      </w:pPr>
      <w:r>
        <w:rPr>
          <w:rStyle w:val="FootnoteReference"/>
        </w:rPr>
        <w:footnoteRef/>
      </w:r>
      <w:r>
        <w:t xml:space="preserve"> Where the smelter sources from or participates in an upstream assurance system, some of the information may be published by this program and does not need to be repeated by the smelter. This concerns in particular descriptions of methodologies or systems of control over the supply chain. It is the responsibility of the smelter to</w:t>
      </w:r>
      <w:r w:rsidRPr="001078D1">
        <w:t xml:space="preserve"> request and obtain</w:t>
      </w:r>
      <w:r>
        <w:t xml:space="preserve"> this information</w:t>
      </w:r>
      <w:r w:rsidRPr="001078D1">
        <w:t xml:space="preserve"> from the </w:t>
      </w:r>
      <w:r>
        <w:t>upstream assurance system and to make it available for the CFSP audit. Smelter may be subject to confidentiality agreements in regards to information generated by the upstream assurance system.</w:t>
      </w:r>
    </w:p>
  </w:footnote>
  <w:footnote w:id="10">
    <w:p w14:paraId="4B4E3C51" w14:textId="77777777" w:rsidR="00E90ECF" w:rsidRDefault="00E90ECF" w:rsidP="00543FDB">
      <w:pPr>
        <w:pStyle w:val="FootnoteText"/>
      </w:pPr>
      <w:r>
        <w:rPr>
          <w:rStyle w:val="FootnoteReference"/>
        </w:rPr>
        <w:footnoteRef/>
      </w:r>
      <w:r>
        <w:t xml:space="preserve"> Replaces export record for domestic source.</w:t>
      </w:r>
    </w:p>
  </w:footnote>
  <w:footnote w:id="11">
    <w:p w14:paraId="124755A1" w14:textId="77777777" w:rsidR="00E90ECF" w:rsidRDefault="00E90ECF" w:rsidP="00543FDB">
      <w:pPr>
        <w:pStyle w:val="FootnoteText"/>
      </w:pPr>
      <w:r>
        <w:rPr>
          <w:rStyle w:val="FootnoteReference"/>
        </w:rPr>
        <w:footnoteRef/>
      </w:r>
      <w:r>
        <w:t xml:space="preserve"> Replaces export record for domestic source.</w:t>
      </w:r>
    </w:p>
  </w:footnote>
  <w:footnote w:id="12">
    <w:p w14:paraId="2FB4A652" w14:textId="77777777" w:rsidR="00E90ECF" w:rsidRDefault="00E90ECF" w:rsidP="00543FDB">
      <w:pPr>
        <w:pStyle w:val="FootnoteText"/>
      </w:pPr>
      <w:r>
        <w:rPr>
          <w:rStyle w:val="FootnoteReference"/>
        </w:rPr>
        <w:footnoteRef/>
      </w:r>
      <w:r>
        <w:t xml:space="preserve"> Replaces export record for domestic source.</w:t>
      </w:r>
    </w:p>
  </w:footnote>
  <w:footnote w:id="13">
    <w:p w14:paraId="12A4C636" w14:textId="30D7F898" w:rsidR="00E90ECF" w:rsidRDefault="00E90ECF" w:rsidP="008C7DDF">
      <w:pPr>
        <w:pStyle w:val="Footer"/>
      </w:pPr>
      <w:r w:rsidRPr="00006C3A">
        <w:rPr>
          <w:rStyle w:val="FootnoteReference"/>
          <w:sz w:val="18"/>
        </w:rPr>
        <w:footnoteRef/>
      </w:r>
      <w:r w:rsidRPr="00006C3A">
        <w:t xml:space="preserve"> Additional details available i</w:t>
      </w:r>
      <w:r>
        <w:t>n Annex IV and V.</w:t>
      </w:r>
    </w:p>
  </w:footnote>
  <w:footnote w:id="14">
    <w:p w14:paraId="08D12DCF" w14:textId="197FBC48" w:rsidR="00E90ECF" w:rsidRDefault="00E90ECF" w:rsidP="009A6217">
      <w:pPr>
        <w:pStyle w:val="FootnoteText"/>
      </w:pPr>
      <w:r>
        <w:rPr>
          <w:rStyle w:val="FootnoteReference"/>
        </w:rPr>
        <w:footnoteRef/>
      </w:r>
      <w:r>
        <w:t xml:space="preserve"> Date is aligned with the final rules published by the US Securities and Exchange commission for Section 1502 of the Dodd Frank Act.</w:t>
      </w:r>
    </w:p>
  </w:footnote>
  <w:footnote w:id="15">
    <w:p w14:paraId="0D281E88" w14:textId="77777777" w:rsidR="00E90ECF" w:rsidRDefault="00E90ECF" w:rsidP="00E93F7D">
      <w:pPr>
        <w:pStyle w:val="FootnoteText"/>
      </w:pPr>
      <w:r>
        <w:rPr>
          <w:rStyle w:val="FootnoteReference"/>
        </w:rPr>
        <w:footnoteRef/>
      </w:r>
      <w:r>
        <w:t xml:space="preserve"> </w:t>
      </w:r>
      <w:r w:rsidRPr="00B102F7">
        <w:t>The CoA should be available for material produced from mineral and should also be available for pure metal produced from secondary sources</w:t>
      </w:r>
      <w:r>
        <w:t>, but not other types of material</w:t>
      </w:r>
      <w:r w:rsidRPr="00B102F7">
        <w:t>.</w:t>
      </w:r>
    </w:p>
  </w:footnote>
  <w:footnote w:id="16">
    <w:p w14:paraId="54A4D6A6" w14:textId="77777777" w:rsidR="00E90ECF" w:rsidRDefault="00E90ECF" w:rsidP="009F26EE">
      <w:pPr>
        <w:pStyle w:val="FootnoteText"/>
        <w:rPr>
          <w:lang w:val="fr-FR"/>
        </w:rPr>
      </w:pPr>
      <w:r w:rsidRPr="00AA57F3">
        <w:rPr>
          <w:sz w:val="18"/>
          <w:szCs w:val="18"/>
          <w:vertAlign w:val="superscript"/>
        </w:rPr>
        <w:footnoteRef/>
      </w:r>
      <w:r>
        <w:rPr>
          <w:sz w:val="18"/>
          <w:szCs w:val="18"/>
        </w:rPr>
        <w:t xml:space="preserve"> This sampling guidance is based on ISAEL Alliance, Assurance Code Version 2014, Section 6.4.4</w:t>
      </w:r>
    </w:p>
  </w:footnote>
  <w:footnote w:id="17">
    <w:p w14:paraId="28A79A99" w14:textId="77777777" w:rsidR="00E90ECF" w:rsidRPr="00F727C4" w:rsidRDefault="00E90ECF" w:rsidP="00477635">
      <w:pPr>
        <w:pStyle w:val="Footer"/>
        <w:rPr>
          <w:sz w:val="20"/>
          <w:szCs w:val="20"/>
        </w:rPr>
      </w:pPr>
      <w:r w:rsidRPr="00F727C4">
        <w:rPr>
          <w:rStyle w:val="FootnoteReference"/>
          <w:sz w:val="20"/>
          <w:szCs w:val="20"/>
        </w:rPr>
        <w:footnoteRef/>
      </w:r>
      <w:r w:rsidRPr="00F727C4">
        <w:rPr>
          <w:sz w:val="20"/>
          <w:szCs w:val="20"/>
        </w:rPr>
        <w:t xml:space="preserve"> OECD Due Diligence Guidance for Responsible Supply Chains on Minerals from Conflict-Affected and High Risk Areas, </w:t>
      </w:r>
      <w:hyperlink r:id="rId1" w:history="1">
        <w:r w:rsidRPr="00F727C4">
          <w:rPr>
            <w:rStyle w:val="Hyperlink"/>
            <w:sz w:val="20"/>
            <w:szCs w:val="20"/>
          </w:rPr>
          <w:t>http://www.oecd.org/daf/inv/mne/GuidanceEdition2.pdf</w:t>
        </w:r>
      </w:hyperlink>
      <w:r w:rsidRPr="00F727C4">
        <w:rPr>
          <w:sz w:val="20"/>
          <w:szCs w:val="20"/>
        </w:rPr>
        <w:t xml:space="preserve"> </w:t>
      </w:r>
    </w:p>
  </w:footnote>
  <w:footnote w:id="18">
    <w:p w14:paraId="40E2AAF6" w14:textId="77777777" w:rsidR="00E90ECF" w:rsidRDefault="00E90ECF" w:rsidP="00477635">
      <w:pPr>
        <w:pStyle w:val="FootnoteText"/>
      </w:pPr>
      <w:r w:rsidRPr="00F727C4">
        <w:rPr>
          <w:rStyle w:val="FootnoteReference"/>
        </w:rPr>
        <w:footnoteRef/>
      </w:r>
      <w:r w:rsidRPr="00F727C4">
        <w:t xml:space="preserve"> http://www.businessdictionary.com/definition/bill-of-lading-B-L.html</w:t>
      </w:r>
    </w:p>
  </w:footnote>
  <w:footnote w:id="19">
    <w:p w14:paraId="22F2C394" w14:textId="77777777" w:rsidR="00E90ECF" w:rsidRPr="00006C3A" w:rsidRDefault="00E90ECF" w:rsidP="00477635">
      <w:pPr>
        <w:pStyle w:val="FootnoteText"/>
      </w:pPr>
      <w:r w:rsidRPr="00006C3A">
        <w:rPr>
          <w:rStyle w:val="FootnoteReference"/>
        </w:rPr>
        <w:footnoteRef/>
      </w:r>
      <w:r w:rsidRPr="00006C3A">
        <w:t xml:space="preserve"> </w:t>
      </w:r>
      <w:hyperlink r:id="rId2" w:history="1">
        <w:r w:rsidRPr="00006C3A">
          <w:rPr>
            <w:rStyle w:val="Hyperlink"/>
          </w:rPr>
          <w:t>http://en.wikipedia.org/wiki/Refining</w:t>
        </w:r>
      </w:hyperlink>
      <w:r w:rsidRPr="00006C3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63F" w14:textId="63722981" w:rsidR="00E90ECF" w:rsidRPr="00947F17" w:rsidRDefault="007817B3" w:rsidP="007548E7">
    <w:pPr>
      <w:rPr>
        <w:color w:val="F37321"/>
        <w:szCs w:val="20"/>
      </w:rPr>
    </w:pPr>
    <w:sdt>
      <w:sdtPr>
        <w:rPr>
          <w:color w:val="F37321"/>
          <w:szCs w:val="20"/>
        </w:rPr>
        <w:id w:val="1532914756"/>
        <w:docPartObj>
          <w:docPartGallery w:val="Watermarks"/>
          <w:docPartUnique/>
        </w:docPartObj>
      </w:sdtPr>
      <w:sdtEndPr/>
      <w:sdtContent>
        <w:r>
          <w:rPr>
            <w:noProof/>
            <w:color w:val="F37321"/>
            <w:szCs w:val="20"/>
            <w:lang w:eastAsia="zh-TW"/>
          </w:rPr>
          <w:pict w14:anchorId="4C501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ECF" w:rsidRPr="00947F17">
      <w:rPr>
        <w:color w:val="F37321"/>
        <w:szCs w:val="20"/>
      </w:rPr>
      <w:t>The Conflict-Free Sourcing Initiative</w:t>
    </w:r>
    <w:r w:rsidR="00E90ECF">
      <w:rPr>
        <w:color w:val="F37321"/>
        <w:szCs w:val="20"/>
      </w:rPr>
      <w:br/>
    </w:r>
    <w:r w:rsidR="00E90ECF" w:rsidRPr="00B8550E">
      <w:rPr>
        <w:color w:val="1C2674"/>
        <w:sz w:val="16"/>
        <w:szCs w:val="16"/>
      </w:rPr>
      <w:t>www.conflictfreesourcing.org | @EICCoalition | @GeSIConnect</w:t>
    </w:r>
    <w:r w:rsidR="00E90ECF" w:rsidRPr="00947F17">
      <w:rPr>
        <w:noProof/>
        <w:color w:val="F37321"/>
        <w:szCs w:val="20"/>
        <w:lang w:eastAsia="en-US"/>
      </w:rPr>
      <w:drawing>
        <wp:anchor distT="0" distB="0" distL="114300" distR="114300" simplePos="0" relativeHeight="251657216" behindDoc="0" locked="1" layoutInCell="0" allowOverlap="1" wp14:anchorId="0B3CD0CC" wp14:editId="3722D343">
          <wp:simplePos x="0" y="0"/>
          <wp:positionH relativeFrom="page">
            <wp:posOffset>6400800</wp:posOffset>
          </wp:positionH>
          <wp:positionV relativeFrom="page">
            <wp:posOffset>457200</wp:posOffset>
          </wp:positionV>
          <wp:extent cx="914400" cy="914400"/>
          <wp:effectExtent l="0" t="0" r="0" b="0"/>
          <wp:wrapNone/>
          <wp:docPr id="2" name="Picture 2" descr="D:\clients\cfsi\cf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ents\cfsi\cfs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1895F" w14:textId="77777777" w:rsidR="00E90ECF" w:rsidRDefault="00E9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A0"/>
    <w:multiLevelType w:val="hybridMultilevel"/>
    <w:tmpl w:val="A816FD62"/>
    <w:lvl w:ilvl="0" w:tplc="932ED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2756"/>
    <w:multiLevelType w:val="hybridMultilevel"/>
    <w:tmpl w:val="B54A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63B9"/>
    <w:multiLevelType w:val="hybridMultilevel"/>
    <w:tmpl w:val="E6D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5E3D"/>
    <w:multiLevelType w:val="hybridMultilevel"/>
    <w:tmpl w:val="40CC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D4616"/>
    <w:multiLevelType w:val="hybridMultilevel"/>
    <w:tmpl w:val="32D0D4CA"/>
    <w:lvl w:ilvl="0" w:tplc="04090017">
      <w:start w:val="1"/>
      <w:numFmt w:val="lowerLetter"/>
      <w:lvlText w:val="%1)"/>
      <w:lvlJc w:val="left"/>
      <w:pPr>
        <w:ind w:left="990" w:hanging="360"/>
      </w:pPr>
      <w:rPr>
        <w:rFonts w:hint="default"/>
        <w:b w:val="0"/>
        <w:bCs/>
        <w:i w:val="0"/>
        <w:iCs w:val="0"/>
        <w:sz w:val="22"/>
        <w:szCs w:val="22"/>
      </w:rPr>
    </w:lvl>
    <w:lvl w:ilvl="1" w:tplc="04090017">
      <w:start w:val="1"/>
      <w:numFmt w:val="lowerLetter"/>
      <w:lvlText w:val="%2)"/>
      <w:lvlJc w:val="left"/>
      <w:pPr>
        <w:ind w:left="1436" w:hanging="360"/>
      </w:pPr>
    </w:lvl>
    <w:lvl w:ilvl="2" w:tplc="0409001B">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15:restartNumberingAfterBreak="0">
    <w:nsid w:val="06AB7416"/>
    <w:multiLevelType w:val="hybridMultilevel"/>
    <w:tmpl w:val="89C0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E0648"/>
    <w:multiLevelType w:val="hybridMultilevel"/>
    <w:tmpl w:val="7C6247A6"/>
    <w:lvl w:ilvl="0" w:tplc="0409001B">
      <w:start w:val="1"/>
      <w:numFmt w:val="lowerRoman"/>
      <w:lvlText w:val="%1."/>
      <w:lvlJc w:val="right"/>
      <w:pPr>
        <w:ind w:left="634"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5658F486">
      <w:numFmt w:val="bullet"/>
      <w:lvlText w:val="-"/>
      <w:lvlJc w:val="left"/>
      <w:pPr>
        <w:ind w:left="2520" w:hanging="360"/>
      </w:pPr>
      <w:rPr>
        <w:rFonts w:ascii="Calibri" w:eastAsiaTheme="minorEastAsia"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E83012"/>
    <w:multiLevelType w:val="hybridMultilevel"/>
    <w:tmpl w:val="D62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03CDF"/>
    <w:multiLevelType w:val="hybridMultilevel"/>
    <w:tmpl w:val="14F8AC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E226920"/>
    <w:multiLevelType w:val="hybridMultilevel"/>
    <w:tmpl w:val="75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F6B84"/>
    <w:multiLevelType w:val="hybridMultilevel"/>
    <w:tmpl w:val="D04C7F5C"/>
    <w:lvl w:ilvl="0" w:tplc="0409000F">
      <w:start w:val="1"/>
      <w:numFmt w:val="decimal"/>
      <w:lvlText w:val="%1."/>
      <w:lvlJc w:val="left"/>
      <w:pPr>
        <w:ind w:left="990" w:hanging="360"/>
      </w:pPr>
      <w:rPr>
        <w:rFonts w:hint="default"/>
      </w:rPr>
    </w:lvl>
    <w:lvl w:ilvl="1" w:tplc="04090017">
      <w:start w:val="1"/>
      <w:numFmt w:val="lowerLetter"/>
      <w:lvlText w:val="%2)"/>
      <w:lvlJc w:val="left"/>
      <w:pPr>
        <w:ind w:left="1436" w:hanging="360"/>
      </w:pPr>
    </w:lvl>
    <w:lvl w:ilvl="2" w:tplc="0409001B">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1" w15:restartNumberingAfterBreak="0">
    <w:nsid w:val="12243025"/>
    <w:multiLevelType w:val="hybridMultilevel"/>
    <w:tmpl w:val="653C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D35BD"/>
    <w:multiLevelType w:val="hybridMultilevel"/>
    <w:tmpl w:val="91D06B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58128F2"/>
    <w:multiLevelType w:val="hybridMultilevel"/>
    <w:tmpl w:val="1AC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C392E"/>
    <w:multiLevelType w:val="hybridMultilevel"/>
    <w:tmpl w:val="A78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AE447D"/>
    <w:multiLevelType w:val="hybridMultilevel"/>
    <w:tmpl w:val="7EF63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F02B6"/>
    <w:multiLevelType w:val="hybridMultilevel"/>
    <w:tmpl w:val="4AB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D48AE"/>
    <w:multiLevelType w:val="hybridMultilevel"/>
    <w:tmpl w:val="0428E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86401C"/>
    <w:multiLevelType w:val="hybridMultilevel"/>
    <w:tmpl w:val="512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9577D"/>
    <w:multiLevelType w:val="hybridMultilevel"/>
    <w:tmpl w:val="7590A0C8"/>
    <w:lvl w:ilvl="0" w:tplc="0409001B">
      <w:start w:val="1"/>
      <w:numFmt w:val="lowerRoman"/>
      <w:lvlText w:val="%1."/>
      <w:lvlJc w:val="right"/>
      <w:pPr>
        <w:ind w:left="634"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3333D"/>
    <w:multiLevelType w:val="hybridMultilevel"/>
    <w:tmpl w:val="734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66765"/>
    <w:multiLevelType w:val="hybridMultilevel"/>
    <w:tmpl w:val="A0C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C57B4"/>
    <w:multiLevelType w:val="hybridMultilevel"/>
    <w:tmpl w:val="BDEEC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8B32336"/>
    <w:multiLevelType w:val="hybridMultilevel"/>
    <w:tmpl w:val="E44A73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352A3"/>
    <w:multiLevelType w:val="hybridMultilevel"/>
    <w:tmpl w:val="0C36B144"/>
    <w:lvl w:ilvl="0" w:tplc="0409001B">
      <w:start w:val="1"/>
      <w:numFmt w:val="lowerRoman"/>
      <w:lvlText w:val="%1."/>
      <w:lvlJc w:val="righ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2B796BE2"/>
    <w:multiLevelType w:val="hybridMultilevel"/>
    <w:tmpl w:val="F9082D2A"/>
    <w:lvl w:ilvl="0" w:tplc="49222E0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E87BFB"/>
    <w:multiLevelType w:val="hybridMultilevel"/>
    <w:tmpl w:val="5D44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AF40A2"/>
    <w:multiLevelType w:val="hybridMultilevel"/>
    <w:tmpl w:val="9B0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D3567"/>
    <w:multiLevelType w:val="hybridMultilevel"/>
    <w:tmpl w:val="16CE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DA00FA"/>
    <w:multiLevelType w:val="hybridMultilevel"/>
    <w:tmpl w:val="48C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FE6874"/>
    <w:multiLevelType w:val="hybridMultilevel"/>
    <w:tmpl w:val="013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62D8B"/>
    <w:multiLevelType w:val="hybridMultilevel"/>
    <w:tmpl w:val="CFD4B3EE"/>
    <w:lvl w:ilvl="0" w:tplc="0409000F">
      <w:start w:val="1"/>
      <w:numFmt w:val="decimal"/>
      <w:lvlText w:val="%1."/>
      <w:lvlJc w:val="left"/>
      <w:pPr>
        <w:ind w:left="6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C008AD"/>
    <w:multiLevelType w:val="hybridMultilevel"/>
    <w:tmpl w:val="302C893E"/>
    <w:lvl w:ilvl="0" w:tplc="0409000F">
      <w:start w:val="1"/>
      <w:numFmt w:val="decimal"/>
      <w:lvlText w:val="%1."/>
      <w:lvlJc w:val="left"/>
      <w:pPr>
        <w:ind w:left="6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50096B"/>
    <w:multiLevelType w:val="hybridMultilevel"/>
    <w:tmpl w:val="64A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746D46"/>
    <w:multiLevelType w:val="hybridMultilevel"/>
    <w:tmpl w:val="D22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A8001D"/>
    <w:multiLevelType w:val="hybridMultilevel"/>
    <w:tmpl w:val="FA9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25EC3"/>
    <w:multiLevelType w:val="hybridMultilevel"/>
    <w:tmpl w:val="A48C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069FB"/>
    <w:multiLevelType w:val="hybridMultilevel"/>
    <w:tmpl w:val="3B2EB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4B1C360F"/>
    <w:multiLevelType w:val="hybridMultilevel"/>
    <w:tmpl w:val="4CF23BA0"/>
    <w:lvl w:ilvl="0" w:tplc="0409001B">
      <w:start w:val="1"/>
      <w:numFmt w:val="lowerRoman"/>
      <w:lvlText w:val="%1."/>
      <w:lvlJc w:val="right"/>
      <w:pPr>
        <w:ind w:left="634"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AD26FD"/>
    <w:multiLevelType w:val="hybridMultilevel"/>
    <w:tmpl w:val="EF22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ED34364"/>
    <w:multiLevelType w:val="multilevel"/>
    <w:tmpl w:val="CA00184E"/>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41" w15:restartNumberingAfterBreak="0">
    <w:nsid w:val="4F217B81"/>
    <w:multiLevelType w:val="hybridMultilevel"/>
    <w:tmpl w:val="C220E0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541336EB"/>
    <w:multiLevelType w:val="hybridMultilevel"/>
    <w:tmpl w:val="22E6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277F30"/>
    <w:multiLevelType w:val="hybridMultilevel"/>
    <w:tmpl w:val="CE2A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E567F8"/>
    <w:multiLevelType w:val="hybridMultilevel"/>
    <w:tmpl w:val="05F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127C18"/>
    <w:multiLevelType w:val="hybridMultilevel"/>
    <w:tmpl w:val="E40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874774"/>
    <w:multiLevelType w:val="hybridMultilevel"/>
    <w:tmpl w:val="F8E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1B51B8"/>
    <w:multiLevelType w:val="hybridMultilevel"/>
    <w:tmpl w:val="9E0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B2574"/>
    <w:multiLevelType w:val="hybridMultilevel"/>
    <w:tmpl w:val="3C84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40FDA"/>
    <w:multiLevelType w:val="hybridMultilevel"/>
    <w:tmpl w:val="958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331B14"/>
    <w:multiLevelType w:val="hybridMultilevel"/>
    <w:tmpl w:val="2B7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A4937"/>
    <w:multiLevelType w:val="hybridMultilevel"/>
    <w:tmpl w:val="11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29625E"/>
    <w:multiLevelType w:val="hybridMultilevel"/>
    <w:tmpl w:val="D72660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7D11451"/>
    <w:multiLevelType w:val="hybridMultilevel"/>
    <w:tmpl w:val="689EF0BE"/>
    <w:lvl w:ilvl="0" w:tplc="50CADCC0">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AD3468"/>
    <w:multiLevelType w:val="hybridMultilevel"/>
    <w:tmpl w:val="6A3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41A4A"/>
    <w:multiLevelType w:val="hybridMultilevel"/>
    <w:tmpl w:val="6D12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DA0601"/>
    <w:multiLevelType w:val="hybridMultilevel"/>
    <w:tmpl w:val="264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3135C6"/>
    <w:multiLevelType w:val="hybridMultilevel"/>
    <w:tmpl w:val="302C893E"/>
    <w:lvl w:ilvl="0" w:tplc="0409000F">
      <w:start w:val="1"/>
      <w:numFmt w:val="decimal"/>
      <w:lvlText w:val="%1."/>
      <w:lvlJc w:val="left"/>
      <w:pPr>
        <w:ind w:left="6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7561B9"/>
    <w:multiLevelType w:val="hybridMultilevel"/>
    <w:tmpl w:val="84B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6"/>
  </w:num>
  <w:num w:numId="3">
    <w:abstractNumId w:val="28"/>
  </w:num>
  <w:num w:numId="4">
    <w:abstractNumId w:val="40"/>
  </w:num>
  <w:num w:numId="5">
    <w:abstractNumId w:val="51"/>
  </w:num>
  <w:num w:numId="6">
    <w:abstractNumId w:val="9"/>
  </w:num>
  <w:num w:numId="7">
    <w:abstractNumId w:val="26"/>
  </w:num>
  <w:num w:numId="8">
    <w:abstractNumId w:val="29"/>
  </w:num>
  <w:num w:numId="9">
    <w:abstractNumId w:val="50"/>
  </w:num>
  <w:num w:numId="10">
    <w:abstractNumId w:val="34"/>
  </w:num>
  <w:num w:numId="11">
    <w:abstractNumId w:val="54"/>
  </w:num>
  <w:num w:numId="12">
    <w:abstractNumId w:val="35"/>
  </w:num>
  <w:num w:numId="13">
    <w:abstractNumId w:val="7"/>
  </w:num>
  <w:num w:numId="14">
    <w:abstractNumId w:val="2"/>
  </w:num>
  <w:num w:numId="15">
    <w:abstractNumId w:val="30"/>
  </w:num>
  <w:num w:numId="16">
    <w:abstractNumId w:val="43"/>
  </w:num>
  <w:num w:numId="17">
    <w:abstractNumId w:val="49"/>
  </w:num>
  <w:num w:numId="18">
    <w:abstractNumId w:val="6"/>
  </w:num>
  <w:num w:numId="19">
    <w:abstractNumId w:val="38"/>
  </w:num>
  <w:num w:numId="20">
    <w:abstractNumId w:val="10"/>
  </w:num>
  <w:num w:numId="21">
    <w:abstractNumId w:val="1"/>
  </w:num>
  <w:num w:numId="22">
    <w:abstractNumId w:val="5"/>
  </w:num>
  <w:num w:numId="23">
    <w:abstractNumId w:val="48"/>
  </w:num>
  <w:num w:numId="24">
    <w:abstractNumId w:val="36"/>
  </w:num>
  <w:num w:numId="25">
    <w:abstractNumId w:val="53"/>
  </w:num>
  <w:num w:numId="26">
    <w:abstractNumId w:val="45"/>
  </w:num>
  <w:num w:numId="27">
    <w:abstractNumId w:val="55"/>
  </w:num>
  <w:num w:numId="28">
    <w:abstractNumId w:val="25"/>
  </w:num>
  <w:num w:numId="29">
    <w:abstractNumId w:val="11"/>
  </w:num>
  <w:num w:numId="30">
    <w:abstractNumId w:val="42"/>
  </w:num>
  <w:num w:numId="31">
    <w:abstractNumId w:val="21"/>
  </w:num>
  <w:num w:numId="32">
    <w:abstractNumId w:val="23"/>
  </w:num>
  <w:num w:numId="33">
    <w:abstractNumId w:val="14"/>
  </w:num>
  <w:num w:numId="34">
    <w:abstractNumId w:val="39"/>
  </w:num>
  <w:num w:numId="35">
    <w:abstractNumId w:val="22"/>
  </w:num>
  <w:num w:numId="36">
    <w:abstractNumId w:val="46"/>
  </w:num>
  <w:num w:numId="37">
    <w:abstractNumId w:val="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8"/>
  </w:num>
  <w:num w:numId="41">
    <w:abstractNumId w:val="32"/>
  </w:num>
  <w:num w:numId="42">
    <w:abstractNumId w:val="57"/>
  </w:num>
  <w:num w:numId="43">
    <w:abstractNumId w:val="31"/>
  </w:num>
  <w:num w:numId="44">
    <w:abstractNumId w:val="0"/>
  </w:num>
  <w:num w:numId="45">
    <w:abstractNumId w:val="24"/>
  </w:num>
  <w:num w:numId="46">
    <w:abstractNumId w:val="15"/>
  </w:num>
  <w:num w:numId="47">
    <w:abstractNumId w:val="44"/>
  </w:num>
  <w:num w:numId="48">
    <w:abstractNumId w:val="13"/>
  </w:num>
  <w:num w:numId="49">
    <w:abstractNumId w:val="3"/>
  </w:num>
  <w:num w:numId="50">
    <w:abstractNumId w:val="18"/>
  </w:num>
  <w:num w:numId="51">
    <w:abstractNumId w:val="41"/>
  </w:num>
  <w:num w:numId="52">
    <w:abstractNumId w:val="8"/>
  </w:num>
  <w:num w:numId="53">
    <w:abstractNumId w:val="12"/>
  </w:num>
  <w:num w:numId="54">
    <w:abstractNumId w:val="16"/>
  </w:num>
  <w:num w:numId="55">
    <w:abstractNumId w:val="37"/>
  </w:num>
  <w:num w:numId="56">
    <w:abstractNumId w:val="33"/>
  </w:num>
  <w:num w:numId="57">
    <w:abstractNumId w:val="20"/>
  </w:num>
  <w:num w:numId="58">
    <w:abstractNumId w:val="47"/>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35"/>
    <w:rsid w:val="00000E77"/>
    <w:rsid w:val="00000E7D"/>
    <w:rsid w:val="00002502"/>
    <w:rsid w:val="00005625"/>
    <w:rsid w:val="00007370"/>
    <w:rsid w:val="00011415"/>
    <w:rsid w:val="00013177"/>
    <w:rsid w:val="000153DC"/>
    <w:rsid w:val="0001607C"/>
    <w:rsid w:val="000236DD"/>
    <w:rsid w:val="00024635"/>
    <w:rsid w:val="000247BC"/>
    <w:rsid w:val="0002635B"/>
    <w:rsid w:val="0002690F"/>
    <w:rsid w:val="00026AD1"/>
    <w:rsid w:val="00027729"/>
    <w:rsid w:val="00027DB3"/>
    <w:rsid w:val="00027FB2"/>
    <w:rsid w:val="000314F2"/>
    <w:rsid w:val="00031928"/>
    <w:rsid w:val="000418D1"/>
    <w:rsid w:val="00041D9C"/>
    <w:rsid w:val="00046D97"/>
    <w:rsid w:val="00052521"/>
    <w:rsid w:val="00056242"/>
    <w:rsid w:val="00060547"/>
    <w:rsid w:val="00062E56"/>
    <w:rsid w:val="0006358C"/>
    <w:rsid w:val="00072E22"/>
    <w:rsid w:val="000733FE"/>
    <w:rsid w:val="00076126"/>
    <w:rsid w:val="00076704"/>
    <w:rsid w:val="0008317B"/>
    <w:rsid w:val="000831E7"/>
    <w:rsid w:val="00083949"/>
    <w:rsid w:val="00083F47"/>
    <w:rsid w:val="00084762"/>
    <w:rsid w:val="00084C66"/>
    <w:rsid w:val="0008687D"/>
    <w:rsid w:val="00090D31"/>
    <w:rsid w:val="00091C88"/>
    <w:rsid w:val="000928DD"/>
    <w:rsid w:val="0009381A"/>
    <w:rsid w:val="00095AA2"/>
    <w:rsid w:val="000978AC"/>
    <w:rsid w:val="00097FE6"/>
    <w:rsid w:val="000A308A"/>
    <w:rsid w:val="000A558D"/>
    <w:rsid w:val="000A6082"/>
    <w:rsid w:val="000A6812"/>
    <w:rsid w:val="000B25EB"/>
    <w:rsid w:val="000B289D"/>
    <w:rsid w:val="000C2340"/>
    <w:rsid w:val="000C4796"/>
    <w:rsid w:val="000C7514"/>
    <w:rsid w:val="000D191C"/>
    <w:rsid w:val="000D74C5"/>
    <w:rsid w:val="000E1017"/>
    <w:rsid w:val="000E22BE"/>
    <w:rsid w:val="000E2C31"/>
    <w:rsid w:val="000E3BD7"/>
    <w:rsid w:val="000E4759"/>
    <w:rsid w:val="000E5FE6"/>
    <w:rsid w:val="000E7682"/>
    <w:rsid w:val="000F00A3"/>
    <w:rsid w:val="000F19D6"/>
    <w:rsid w:val="000F382F"/>
    <w:rsid w:val="000F6551"/>
    <w:rsid w:val="001061DB"/>
    <w:rsid w:val="001078D1"/>
    <w:rsid w:val="00110662"/>
    <w:rsid w:val="0011122B"/>
    <w:rsid w:val="00113774"/>
    <w:rsid w:val="00116DB2"/>
    <w:rsid w:val="0011733D"/>
    <w:rsid w:val="00117435"/>
    <w:rsid w:val="00117FAA"/>
    <w:rsid w:val="0012267E"/>
    <w:rsid w:val="0012326C"/>
    <w:rsid w:val="00123951"/>
    <w:rsid w:val="00124F2B"/>
    <w:rsid w:val="00126A1D"/>
    <w:rsid w:val="00126CE9"/>
    <w:rsid w:val="0012776C"/>
    <w:rsid w:val="001300FF"/>
    <w:rsid w:val="00130865"/>
    <w:rsid w:val="00131DA3"/>
    <w:rsid w:val="00132B87"/>
    <w:rsid w:val="00133792"/>
    <w:rsid w:val="00133834"/>
    <w:rsid w:val="00133AA4"/>
    <w:rsid w:val="00136514"/>
    <w:rsid w:val="00142224"/>
    <w:rsid w:val="001440B7"/>
    <w:rsid w:val="00146758"/>
    <w:rsid w:val="001478FD"/>
    <w:rsid w:val="001501F7"/>
    <w:rsid w:val="001522AE"/>
    <w:rsid w:val="00152A99"/>
    <w:rsid w:val="00153BBF"/>
    <w:rsid w:val="001555EC"/>
    <w:rsid w:val="001571A6"/>
    <w:rsid w:val="0015750D"/>
    <w:rsid w:val="0016099F"/>
    <w:rsid w:val="00161DEC"/>
    <w:rsid w:val="00164609"/>
    <w:rsid w:val="00170307"/>
    <w:rsid w:val="00170F3E"/>
    <w:rsid w:val="001758DD"/>
    <w:rsid w:val="001776F0"/>
    <w:rsid w:val="0018188A"/>
    <w:rsid w:val="00181DFD"/>
    <w:rsid w:val="0018220E"/>
    <w:rsid w:val="001863D7"/>
    <w:rsid w:val="00186401"/>
    <w:rsid w:val="001906E2"/>
    <w:rsid w:val="00191B75"/>
    <w:rsid w:val="00191F3E"/>
    <w:rsid w:val="00192B08"/>
    <w:rsid w:val="0019309B"/>
    <w:rsid w:val="00196EA6"/>
    <w:rsid w:val="001A105C"/>
    <w:rsid w:val="001A1B39"/>
    <w:rsid w:val="001A76B9"/>
    <w:rsid w:val="001A7885"/>
    <w:rsid w:val="001B2EE3"/>
    <w:rsid w:val="001B5725"/>
    <w:rsid w:val="001B79A5"/>
    <w:rsid w:val="001C0779"/>
    <w:rsid w:val="001C1C5F"/>
    <w:rsid w:val="001C417A"/>
    <w:rsid w:val="001D0AEF"/>
    <w:rsid w:val="001D1336"/>
    <w:rsid w:val="001D188A"/>
    <w:rsid w:val="001D555E"/>
    <w:rsid w:val="001D6D2E"/>
    <w:rsid w:val="001D6F1E"/>
    <w:rsid w:val="001E2BA2"/>
    <w:rsid w:val="001E58EA"/>
    <w:rsid w:val="001E5C45"/>
    <w:rsid w:val="001E781B"/>
    <w:rsid w:val="001F3452"/>
    <w:rsid w:val="001F3EE9"/>
    <w:rsid w:val="001F6922"/>
    <w:rsid w:val="001F74F9"/>
    <w:rsid w:val="00201148"/>
    <w:rsid w:val="0020326D"/>
    <w:rsid w:val="00204734"/>
    <w:rsid w:val="00206422"/>
    <w:rsid w:val="0020653C"/>
    <w:rsid w:val="002114E2"/>
    <w:rsid w:val="00212963"/>
    <w:rsid w:val="00215351"/>
    <w:rsid w:val="0021791E"/>
    <w:rsid w:val="002179F4"/>
    <w:rsid w:val="002218B9"/>
    <w:rsid w:val="00221AAC"/>
    <w:rsid w:val="002239FF"/>
    <w:rsid w:val="00225DA9"/>
    <w:rsid w:val="0022660E"/>
    <w:rsid w:val="00227292"/>
    <w:rsid w:val="00232244"/>
    <w:rsid w:val="00234E08"/>
    <w:rsid w:val="0023635A"/>
    <w:rsid w:val="002408F9"/>
    <w:rsid w:val="00242C96"/>
    <w:rsid w:val="00245AC2"/>
    <w:rsid w:val="00247932"/>
    <w:rsid w:val="00252D18"/>
    <w:rsid w:val="00254366"/>
    <w:rsid w:val="002551DB"/>
    <w:rsid w:val="00256A80"/>
    <w:rsid w:val="002607CA"/>
    <w:rsid w:val="00260CCF"/>
    <w:rsid w:val="00261801"/>
    <w:rsid w:val="002620D1"/>
    <w:rsid w:val="002643FF"/>
    <w:rsid w:val="00270FD1"/>
    <w:rsid w:val="0027201D"/>
    <w:rsid w:val="00275676"/>
    <w:rsid w:val="002759E7"/>
    <w:rsid w:val="00281287"/>
    <w:rsid w:val="00286EE2"/>
    <w:rsid w:val="00290B80"/>
    <w:rsid w:val="00293D78"/>
    <w:rsid w:val="002A21EC"/>
    <w:rsid w:val="002A50C4"/>
    <w:rsid w:val="002B24E2"/>
    <w:rsid w:val="002B258C"/>
    <w:rsid w:val="002B2CB9"/>
    <w:rsid w:val="002B2F8D"/>
    <w:rsid w:val="002B43A0"/>
    <w:rsid w:val="002B5E5F"/>
    <w:rsid w:val="002B7390"/>
    <w:rsid w:val="002C03DC"/>
    <w:rsid w:val="002C0F09"/>
    <w:rsid w:val="002C23FA"/>
    <w:rsid w:val="002C3C7B"/>
    <w:rsid w:val="002C4640"/>
    <w:rsid w:val="002C5447"/>
    <w:rsid w:val="002C5B60"/>
    <w:rsid w:val="002D3105"/>
    <w:rsid w:val="002E09C4"/>
    <w:rsid w:val="002E1A6C"/>
    <w:rsid w:val="002E4235"/>
    <w:rsid w:val="002F0838"/>
    <w:rsid w:val="002F2747"/>
    <w:rsid w:val="002F281D"/>
    <w:rsid w:val="002F574C"/>
    <w:rsid w:val="002F5ECF"/>
    <w:rsid w:val="002F76FF"/>
    <w:rsid w:val="00300BDC"/>
    <w:rsid w:val="00302128"/>
    <w:rsid w:val="003032EC"/>
    <w:rsid w:val="0030374A"/>
    <w:rsid w:val="00304A54"/>
    <w:rsid w:val="00314D31"/>
    <w:rsid w:val="003154D8"/>
    <w:rsid w:val="00316311"/>
    <w:rsid w:val="00316F7D"/>
    <w:rsid w:val="0032434C"/>
    <w:rsid w:val="0032531B"/>
    <w:rsid w:val="003255F7"/>
    <w:rsid w:val="00325EBC"/>
    <w:rsid w:val="00330B60"/>
    <w:rsid w:val="00331E27"/>
    <w:rsid w:val="00333CC8"/>
    <w:rsid w:val="00335162"/>
    <w:rsid w:val="00336022"/>
    <w:rsid w:val="0033602C"/>
    <w:rsid w:val="003412FE"/>
    <w:rsid w:val="0034130B"/>
    <w:rsid w:val="003425E9"/>
    <w:rsid w:val="00342719"/>
    <w:rsid w:val="003437C2"/>
    <w:rsid w:val="003443A0"/>
    <w:rsid w:val="00345573"/>
    <w:rsid w:val="00347676"/>
    <w:rsid w:val="00347FF7"/>
    <w:rsid w:val="00351D2C"/>
    <w:rsid w:val="00352A9B"/>
    <w:rsid w:val="003534EE"/>
    <w:rsid w:val="00354C81"/>
    <w:rsid w:val="00355E1B"/>
    <w:rsid w:val="00356227"/>
    <w:rsid w:val="003576D1"/>
    <w:rsid w:val="00357E48"/>
    <w:rsid w:val="00360B3C"/>
    <w:rsid w:val="0036321C"/>
    <w:rsid w:val="00364348"/>
    <w:rsid w:val="003648DE"/>
    <w:rsid w:val="00374234"/>
    <w:rsid w:val="00374F8F"/>
    <w:rsid w:val="00376F4C"/>
    <w:rsid w:val="00384B40"/>
    <w:rsid w:val="00384B81"/>
    <w:rsid w:val="00385AD1"/>
    <w:rsid w:val="003876BC"/>
    <w:rsid w:val="00387E10"/>
    <w:rsid w:val="00395428"/>
    <w:rsid w:val="0039585B"/>
    <w:rsid w:val="0039661C"/>
    <w:rsid w:val="00396D15"/>
    <w:rsid w:val="00396D85"/>
    <w:rsid w:val="003A2898"/>
    <w:rsid w:val="003A39E0"/>
    <w:rsid w:val="003B0256"/>
    <w:rsid w:val="003B7497"/>
    <w:rsid w:val="003C2FDA"/>
    <w:rsid w:val="003C3C6D"/>
    <w:rsid w:val="003C4F2C"/>
    <w:rsid w:val="003C5A0C"/>
    <w:rsid w:val="003C5F70"/>
    <w:rsid w:val="003C6987"/>
    <w:rsid w:val="003C6BA3"/>
    <w:rsid w:val="003C7FBC"/>
    <w:rsid w:val="003D116F"/>
    <w:rsid w:val="003E45DC"/>
    <w:rsid w:val="003E5A6E"/>
    <w:rsid w:val="003E5F5E"/>
    <w:rsid w:val="003F01EC"/>
    <w:rsid w:val="003F0EAF"/>
    <w:rsid w:val="003F28A8"/>
    <w:rsid w:val="003F306A"/>
    <w:rsid w:val="003F3969"/>
    <w:rsid w:val="003F4D08"/>
    <w:rsid w:val="003F5AAA"/>
    <w:rsid w:val="004008E1"/>
    <w:rsid w:val="00401C60"/>
    <w:rsid w:val="004138F6"/>
    <w:rsid w:val="004146E0"/>
    <w:rsid w:val="00420F49"/>
    <w:rsid w:val="004211D3"/>
    <w:rsid w:val="00423C88"/>
    <w:rsid w:val="0043290E"/>
    <w:rsid w:val="0043363A"/>
    <w:rsid w:val="004351D5"/>
    <w:rsid w:val="00437774"/>
    <w:rsid w:val="00441F94"/>
    <w:rsid w:val="004427F0"/>
    <w:rsid w:val="00444416"/>
    <w:rsid w:val="00445687"/>
    <w:rsid w:val="0044619C"/>
    <w:rsid w:val="004468DD"/>
    <w:rsid w:val="0044700D"/>
    <w:rsid w:val="004500CA"/>
    <w:rsid w:val="00453D06"/>
    <w:rsid w:val="0045646B"/>
    <w:rsid w:val="004564F6"/>
    <w:rsid w:val="00460855"/>
    <w:rsid w:val="00462464"/>
    <w:rsid w:val="004647EA"/>
    <w:rsid w:val="00464B04"/>
    <w:rsid w:val="004663B8"/>
    <w:rsid w:val="0047041A"/>
    <w:rsid w:val="00472222"/>
    <w:rsid w:val="00477635"/>
    <w:rsid w:val="00481F30"/>
    <w:rsid w:val="004836F6"/>
    <w:rsid w:val="0048539D"/>
    <w:rsid w:val="00487E52"/>
    <w:rsid w:val="004912C4"/>
    <w:rsid w:val="00491BAE"/>
    <w:rsid w:val="00492A6F"/>
    <w:rsid w:val="00494ABD"/>
    <w:rsid w:val="0049536C"/>
    <w:rsid w:val="00496BFA"/>
    <w:rsid w:val="004A3CED"/>
    <w:rsid w:val="004A6D15"/>
    <w:rsid w:val="004B1196"/>
    <w:rsid w:val="004B1283"/>
    <w:rsid w:val="004B3529"/>
    <w:rsid w:val="004B3904"/>
    <w:rsid w:val="004C0894"/>
    <w:rsid w:val="004C4412"/>
    <w:rsid w:val="004C61A4"/>
    <w:rsid w:val="004D0D2D"/>
    <w:rsid w:val="004D2A80"/>
    <w:rsid w:val="004D3802"/>
    <w:rsid w:val="004E3C8E"/>
    <w:rsid w:val="004E40DB"/>
    <w:rsid w:val="004E5941"/>
    <w:rsid w:val="004E5D13"/>
    <w:rsid w:val="004F0737"/>
    <w:rsid w:val="004F166C"/>
    <w:rsid w:val="004F196B"/>
    <w:rsid w:val="004F1A48"/>
    <w:rsid w:val="004F76AA"/>
    <w:rsid w:val="0050044E"/>
    <w:rsid w:val="00502A81"/>
    <w:rsid w:val="00504395"/>
    <w:rsid w:val="00505FC2"/>
    <w:rsid w:val="00506EC6"/>
    <w:rsid w:val="00507D60"/>
    <w:rsid w:val="00507FE1"/>
    <w:rsid w:val="00510520"/>
    <w:rsid w:val="00510B3C"/>
    <w:rsid w:val="0051213F"/>
    <w:rsid w:val="00512680"/>
    <w:rsid w:val="00513073"/>
    <w:rsid w:val="0051372D"/>
    <w:rsid w:val="00513BC6"/>
    <w:rsid w:val="00514A87"/>
    <w:rsid w:val="00516DBB"/>
    <w:rsid w:val="005170AF"/>
    <w:rsid w:val="0051752E"/>
    <w:rsid w:val="00524285"/>
    <w:rsid w:val="005256C6"/>
    <w:rsid w:val="005263BB"/>
    <w:rsid w:val="005278C2"/>
    <w:rsid w:val="00531E66"/>
    <w:rsid w:val="00536A4F"/>
    <w:rsid w:val="005375C7"/>
    <w:rsid w:val="005404FD"/>
    <w:rsid w:val="00540510"/>
    <w:rsid w:val="00541AE4"/>
    <w:rsid w:val="0054247D"/>
    <w:rsid w:val="00542952"/>
    <w:rsid w:val="00543FDB"/>
    <w:rsid w:val="00547958"/>
    <w:rsid w:val="005508D0"/>
    <w:rsid w:val="00550937"/>
    <w:rsid w:val="0055229C"/>
    <w:rsid w:val="00554EFE"/>
    <w:rsid w:val="005553F9"/>
    <w:rsid w:val="00560474"/>
    <w:rsid w:val="00565918"/>
    <w:rsid w:val="005714CB"/>
    <w:rsid w:val="00576279"/>
    <w:rsid w:val="00577927"/>
    <w:rsid w:val="00577A32"/>
    <w:rsid w:val="00580294"/>
    <w:rsid w:val="00581434"/>
    <w:rsid w:val="0058471D"/>
    <w:rsid w:val="00584A7E"/>
    <w:rsid w:val="00585901"/>
    <w:rsid w:val="00595708"/>
    <w:rsid w:val="00596A77"/>
    <w:rsid w:val="00596F10"/>
    <w:rsid w:val="005A2D40"/>
    <w:rsid w:val="005A4DC2"/>
    <w:rsid w:val="005A7D28"/>
    <w:rsid w:val="005B4C42"/>
    <w:rsid w:val="005B5620"/>
    <w:rsid w:val="005B7519"/>
    <w:rsid w:val="005C0EE4"/>
    <w:rsid w:val="005C2EF0"/>
    <w:rsid w:val="005C4436"/>
    <w:rsid w:val="005C478E"/>
    <w:rsid w:val="005C630B"/>
    <w:rsid w:val="005C6F48"/>
    <w:rsid w:val="005C7FDA"/>
    <w:rsid w:val="005D1836"/>
    <w:rsid w:val="005D2336"/>
    <w:rsid w:val="005D3EF5"/>
    <w:rsid w:val="005D48DE"/>
    <w:rsid w:val="005D5030"/>
    <w:rsid w:val="005D697D"/>
    <w:rsid w:val="005D724A"/>
    <w:rsid w:val="005D72D7"/>
    <w:rsid w:val="005E2E1C"/>
    <w:rsid w:val="005E2F04"/>
    <w:rsid w:val="005E491C"/>
    <w:rsid w:val="005E61C5"/>
    <w:rsid w:val="005E781C"/>
    <w:rsid w:val="005F453F"/>
    <w:rsid w:val="005F460A"/>
    <w:rsid w:val="005F6720"/>
    <w:rsid w:val="0060270E"/>
    <w:rsid w:val="006043EC"/>
    <w:rsid w:val="0060611D"/>
    <w:rsid w:val="00606DC8"/>
    <w:rsid w:val="00607E1A"/>
    <w:rsid w:val="00610E15"/>
    <w:rsid w:val="006120E7"/>
    <w:rsid w:val="00612BCD"/>
    <w:rsid w:val="006139C5"/>
    <w:rsid w:val="00615F3F"/>
    <w:rsid w:val="0061697F"/>
    <w:rsid w:val="00620FB2"/>
    <w:rsid w:val="0062115F"/>
    <w:rsid w:val="006252E2"/>
    <w:rsid w:val="006256DB"/>
    <w:rsid w:val="006270BD"/>
    <w:rsid w:val="00634489"/>
    <w:rsid w:val="006344CB"/>
    <w:rsid w:val="00636CE1"/>
    <w:rsid w:val="0063715B"/>
    <w:rsid w:val="00637662"/>
    <w:rsid w:val="00640371"/>
    <w:rsid w:val="00640D52"/>
    <w:rsid w:val="0064150D"/>
    <w:rsid w:val="00646728"/>
    <w:rsid w:val="00646FFB"/>
    <w:rsid w:val="0065177C"/>
    <w:rsid w:val="00653E82"/>
    <w:rsid w:val="00653F02"/>
    <w:rsid w:val="00654B55"/>
    <w:rsid w:val="0065700E"/>
    <w:rsid w:val="006570B4"/>
    <w:rsid w:val="00661AB4"/>
    <w:rsid w:val="00663E8E"/>
    <w:rsid w:val="00664814"/>
    <w:rsid w:val="0067108C"/>
    <w:rsid w:val="00671AA0"/>
    <w:rsid w:val="00672473"/>
    <w:rsid w:val="00672C02"/>
    <w:rsid w:val="00673E2A"/>
    <w:rsid w:val="006745A8"/>
    <w:rsid w:val="00677261"/>
    <w:rsid w:val="006825A5"/>
    <w:rsid w:val="00682932"/>
    <w:rsid w:val="00682948"/>
    <w:rsid w:val="00684DC1"/>
    <w:rsid w:val="00692356"/>
    <w:rsid w:val="00693A34"/>
    <w:rsid w:val="006940F7"/>
    <w:rsid w:val="006942A3"/>
    <w:rsid w:val="00694805"/>
    <w:rsid w:val="0069615E"/>
    <w:rsid w:val="006A239E"/>
    <w:rsid w:val="006A2EE4"/>
    <w:rsid w:val="006A3A16"/>
    <w:rsid w:val="006B0CDD"/>
    <w:rsid w:val="006B0FA8"/>
    <w:rsid w:val="006B54ED"/>
    <w:rsid w:val="006B5B27"/>
    <w:rsid w:val="006B6D19"/>
    <w:rsid w:val="006B762A"/>
    <w:rsid w:val="006C0DF2"/>
    <w:rsid w:val="006C15B2"/>
    <w:rsid w:val="006C1C47"/>
    <w:rsid w:val="006C47D7"/>
    <w:rsid w:val="006C5272"/>
    <w:rsid w:val="006C5F64"/>
    <w:rsid w:val="006D3062"/>
    <w:rsid w:val="006D565B"/>
    <w:rsid w:val="006D7F78"/>
    <w:rsid w:val="006E0D56"/>
    <w:rsid w:val="006E3D0C"/>
    <w:rsid w:val="006E62AC"/>
    <w:rsid w:val="006E7411"/>
    <w:rsid w:val="006F1762"/>
    <w:rsid w:val="006F1DC6"/>
    <w:rsid w:val="006F6828"/>
    <w:rsid w:val="007009C9"/>
    <w:rsid w:val="00700A67"/>
    <w:rsid w:val="00700ABA"/>
    <w:rsid w:val="0070139D"/>
    <w:rsid w:val="0070255A"/>
    <w:rsid w:val="00703AA2"/>
    <w:rsid w:val="00703CC7"/>
    <w:rsid w:val="00705804"/>
    <w:rsid w:val="0071495B"/>
    <w:rsid w:val="00716C45"/>
    <w:rsid w:val="007170DA"/>
    <w:rsid w:val="007177B6"/>
    <w:rsid w:val="00720EDE"/>
    <w:rsid w:val="00731285"/>
    <w:rsid w:val="00731405"/>
    <w:rsid w:val="00734098"/>
    <w:rsid w:val="0073467E"/>
    <w:rsid w:val="00734AA9"/>
    <w:rsid w:val="00735380"/>
    <w:rsid w:val="007356F3"/>
    <w:rsid w:val="00735D16"/>
    <w:rsid w:val="00735E81"/>
    <w:rsid w:val="007371E0"/>
    <w:rsid w:val="007377E2"/>
    <w:rsid w:val="007411B7"/>
    <w:rsid w:val="0074607E"/>
    <w:rsid w:val="00746952"/>
    <w:rsid w:val="0075013B"/>
    <w:rsid w:val="0075166B"/>
    <w:rsid w:val="007517F4"/>
    <w:rsid w:val="007527A9"/>
    <w:rsid w:val="00753519"/>
    <w:rsid w:val="007548E7"/>
    <w:rsid w:val="0075603E"/>
    <w:rsid w:val="00756716"/>
    <w:rsid w:val="00756EC6"/>
    <w:rsid w:val="00760E8F"/>
    <w:rsid w:val="00761746"/>
    <w:rsid w:val="007630D6"/>
    <w:rsid w:val="0076322E"/>
    <w:rsid w:val="0076335E"/>
    <w:rsid w:val="00766B4A"/>
    <w:rsid w:val="00766CEC"/>
    <w:rsid w:val="007719F1"/>
    <w:rsid w:val="00774B84"/>
    <w:rsid w:val="007817B3"/>
    <w:rsid w:val="00783B0A"/>
    <w:rsid w:val="007872C0"/>
    <w:rsid w:val="00791ABF"/>
    <w:rsid w:val="00791B85"/>
    <w:rsid w:val="00791D60"/>
    <w:rsid w:val="00792F0A"/>
    <w:rsid w:val="007945D1"/>
    <w:rsid w:val="00795453"/>
    <w:rsid w:val="00796758"/>
    <w:rsid w:val="00797885"/>
    <w:rsid w:val="007A0063"/>
    <w:rsid w:val="007A0932"/>
    <w:rsid w:val="007A62F3"/>
    <w:rsid w:val="007A77F1"/>
    <w:rsid w:val="007B4013"/>
    <w:rsid w:val="007B7E24"/>
    <w:rsid w:val="007C0EDC"/>
    <w:rsid w:val="007C1B3B"/>
    <w:rsid w:val="007C4C71"/>
    <w:rsid w:val="007C550B"/>
    <w:rsid w:val="007C60C4"/>
    <w:rsid w:val="007D2163"/>
    <w:rsid w:val="007D3F34"/>
    <w:rsid w:val="007D49B6"/>
    <w:rsid w:val="007D641F"/>
    <w:rsid w:val="007E089A"/>
    <w:rsid w:val="007E0D16"/>
    <w:rsid w:val="007E5588"/>
    <w:rsid w:val="007E7F43"/>
    <w:rsid w:val="007F50B5"/>
    <w:rsid w:val="008038EB"/>
    <w:rsid w:val="00804F55"/>
    <w:rsid w:val="0080527A"/>
    <w:rsid w:val="00812105"/>
    <w:rsid w:val="008124F5"/>
    <w:rsid w:val="0081579D"/>
    <w:rsid w:val="008203FB"/>
    <w:rsid w:val="00821F2F"/>
    <w:rsid w:val="008228D0"/>
    <w:rsid w:val="00823ADD"/>
    <w:rsid w:val="00823F48"/>
    <w:rsid w:val="00830884"/>
    <w:rsid w:val="008342A4"/>
    <w:rsid w:val="00835318"/>
    <w:rsid w:val="008355DC"/>
    <w:rsid w:val="00837928"/>
    <w:rsid w:val="00842EBF"/>
    <w:rsid w:val="008433CE"/>
    <w:rsid w:val="0084459D"/>
    <w:rsid w:val="008451D3"/>
    <w:rsid w:val="00847E4C"/>
    <w:rsid w:val="0085202C"/>
    <w:rsid w:val="00854397"/>
    <w:rsid w:val="00855273"/>
    <w:rsid w:val="00857F55"/>
    <w:rsid w:val="008609EB"/>
    <w:rsid w:val="008621D4"/>
    <w:rsid w:val="00863077"/>
    <w:rsid w:val="008669E6"/>
    <w:rsid w:val="00867AED"/>
    <w:rsid w:val="00867B11"/>
    <w:rsid w:val="00872216"/>
    <w:rsid w:val="00872E69"/>
    <w:rsid w:val="0087355F"/>
    <w:rsid w:val="00875163"/>
    <w:rsid w:val="00876D4E"/>
    <w:rsid w:val="00880951"/>
    <w:rsid w:val="00880E0F"/>
    <w:rsid w:val="008849BF"/>
    <w:rsid w:val="00890B5E"/>
    <w:rsid w:val="008926DF"/>
    <w:rsid w:val="00892F90"/>
    <w:rsid w:val="00893669"/>
    <w:rsid w:val="00894BA7"/>
    <w:rsid w:val="00895616"/>
    <w:rsid w:val="0089622C"/>
    <w:rsid w:val="00897CAC"/>
    <w:rsid w:val="008A0C30"/>
    <w:rsid w:val="008A51AC"/>
    <w:rsid w:val="008A6F03"/>
    <w:rsid w:val="008A6FF8"/>
    <w:rsid w:val="008B573C"/>
    <w:rsid w:val="008B6AE5"/>
    <w:rsid w:val="008B79CA"/>
    <w:rsid w:val="008C1E0D"/>
    <w:rsid w:val="008C513F"/>
    <w:rsid w:val="008C5973"/>
    <w:rsid w:val="008C6E63"/>
    <w:rsid w:val="008C7BAB"/>
    <w:rsid w:val="008C7DDF"/>
    <w:rsid w:val="008D0AAB"/>
    <w:rsid w:val="008D1500"/>
    <w:rsid w:val="008D19B3"/>
    <w:rsid w:val="008D43FC"/>
    <w:rsid w:val="008D5E97"/>
    <w:rsid w:val="008D7DCF"/>
    <w:rsid w:val="008E2252"/>
    <w:rsid w:val="008E2ADD"/>
    <w:rsid w:val="008E560E"/>
    <w:rsid w:val="008E6BA0"/>
    <w:rsid w:val="008E701B"/>
    <w:rsid w:val="008F02A0"/>
    <w:rsid w:val="008F2CAC"/>
    <w:rsid w:val="008F430A"/>
    <w:rsid w:val="00900A50"/>
    <w:rsid w:val="009015EC"/>
    <w:rsid w:val="009019CC"/>
    <w:rsid w:val="00901F2D"/>
    <w:rsid w:val="00902124"/>
    <w:rsid w:val="00905D3C"/>
    <w:rsid w:val="00916488"/>
    <w:rsid w:val="00916DB0"/>
    <w:rsid w:val="00917B4F"/>
    <w:rsid w:val="009215A0"/>
    <w:rsid w:val="009253E7"/>
    <w:rsid w:val="00926BCA"/>
    <w:rsid w:val="00931528"/>
    <w:rsid w:val="00931FAB"/>
    <w:rsid w:val="00934FF8"/>
    <w:rsid w:val="00936EB8"/>
    <w:rsid w:val="00942327"/>
    <w:rsid w:val="00943C0E"/>
    <w:rsid w:val="0094680F"/>
    <w:rsid w:val="00950C07"/>
    <w:rsid w:val="0096250E"/>
    <w:rsid w:val="00963E7A"/>
    <w:rsid w:val="0096423C"/>
    <w:rsid w:val="009659EA"/>
    <w:rsid w:val="00965F9C"/>
    <w:rsid w:val="009701B3"/>
    <w:rsid w:val="00971B51"/>
    <w:rsid w:val="00982D29"/>
    <w:rsid w:val="009833F8"/>
    <w:rsid w:val="0098351F"/>
    <w:rsid w:val="00983843"/>
    <w:rsid w:val="0098691E"/>
    <w:rsid w:val="00986C4F"/>
    <w:rsid w:val="00990AAC"/>
    <w:rsid w:val="009921E4"/>
    <w:rsid w:val="00992636"/>
    <w:rsid w:val="009938BB"/>
    <w:rsid w:val="00993B7E"/>
    <w:rsid w:val="00995E20"/>
    <w:rsid w:val="00996AA7"/>
    <w:rsid w:val="009A13B4"/>
    <w:rsid w:val="009A289A"/>
    <w:rsid w:val="009A6217"/>
    <w:rsid w:val="009B18FF"/>
    <w:rsid w:val="009B26F2"/>
    <w:rsid w:val="009B2AC5"/>
    <w:rsid w:val="009B3EC2"/>
    <w:rsid w:val="009B6A04"/>
    <w:rsid w:val="009B785D"/>
    <w:rsid w:val="009C4881"/>
    <w:rsid w:val="009C52A9"/>
    <w:rsid w:val="009C6045"/>
    <w:rsid w:val="009C7C5F"/>
    <w:rsid w:val="009C7E5A"/>
    <w:rsid w:val="009D02D4"/>
    <w:rsid w:val="009D21A8"/>
    <w:rsid w:val="009D7364"/>
    <w:rsid w:val="009E194E"/>
    <w:rsid w:val="009E37CA"/>
    <w:rsid w:val="009E3CC5"/>
    <w:rsid w:val="009E4004"/>
    <w:rsid w:val="009F002A"/>
    <w:rsid w:val="009F0230"/>
    <w:rsid w:val="009F0D7B"/>
    <w:rsid w:val="009F1FF4"/>
    <w:rsid w:val="009F26EE"/>
    <w:rsid w:val="009F4D63"/>
    <w:rsid w:val="009F7957"/>
    <w:rsid w:val="00A028A4"/>
    <w:rsid w:val="00A02F23"/>
    <w:rsid w:val="00A03EDE"/>
    <w:rsid w:val="00A05232"/>
    <w:rsid w:val="00A05ECF"/>
    <w:rsid w:val="00A14CA4"/>
    <w:rsid w:val="00A15816"/>
    <w:rsid w:val="00A15F0C"/>
    <w:rsid w:val="00A20DE6"/>
    <w:rsid w:val="00A22C06"/>
    <w:rsid w:val="00A27036"/>
    <w:rsid w:val="00A3042C"/>
    <w:rsid w:val="00A320A0"/>
    <w:rsid w:val="00A32526"/>
    <w:rsid w:val="00A335FC"/>
    <w:rsid w:val="00A45258"/>
    <w:rsid w:val="00A46123"/>
    <w:rsid w:val="00A505B9"/>
    <w:rsid w:val="00A5358C"/>
    <w:rsid w:val="00A5422B"/>
    <w:rsid w:val="00A55261"/>
    <w:rsid w:val="00A56828"/>
    <w:rsid w:val="00A5715D"/>
    <w:rsid w:val="00A62810"/>
    <w:rsid w:val="00A63A1E"/>
    <w:rsid w:val="00A63D07"/>
    <w:rsid w:val="00A63F00"/>
    <w:rsid w:val="00A65383"/>
    <w:rsid w:val="00A667A1"/>
    <w:rsid w:val="00A6726E"/>
    <w:rsid w:val="00A723BE"/>
    <w:rsid w:val="00A72714"/>
    <w:rsid w:val="00A728F0"/>
    <w:rsid w:val="00A829C8"/>
    <w:rsid w:val="00A82B51"/>
    <w:rsid w:val="00A83CEF"/>
    <w:rsid w:val="00A84839"/>
    <w:rsid w:val="00A9047A"/>
    <w:rsid w:val="00A90AC8"/>
    <w:rsid w:val="00A91A27"/>
    <w:rsid w:val="00A95953"/>
    <w:rsid w:val="00A966A9"/>
    <w:rsid w:val="00A9744D"/>
    <w:rsid w:val="00A97AF6"/>
    <w:rsid w:val="00A97D51"/>
    <w:rsid w:val="00AA0A79"/>
    <w:rsid w:val="00AA0D67"/>
    <w:rsid w:val="00AA3C13"/>
    <w:rsid w:val="00AA4FD9"/>
    <w:rsid w:val="00AA57F3"/>
    <w:rsid w:val="00AB23D6"/>
    <w:rsid w:val="00AB41AC"/>
    <w:rsid w:val="00AC09B1"/>
    <w:rsid w:val="00AC0ED3"/>
    <w:rsid w:val="00AC2B36"/>
    <w:rsid w:val="00AC4BF6"/>
    <w:rsid w:val="00AC5EE2"/>
    <w:rsid w:val="00AD2146"/>
    <w:rsid w:val="00AD3566"/>
    <w:rsid w:val="00AD3C22"/>
    <w:rsid w:val="00AD3CC3"/>
    <w:rsid w:val="00AD641F"/>
    <w:rsid w:val="00AD77E4"/>
    <w:rsid w:val="00AE1EBB"/>
    <w:rsid w:val="00AE3C4B"/>
    <w:rsid w:val="00AE53B7"/>
    <w:rsid w:val="00AE598C"/>
    <w:rsid w:val="00AE59EC"/>
    <w:rsid w:val="00AE6E8C"/>
    <w:rsid w:val="00AE74A0"/>
    <w:rsid w:val="00AF100A"/>
    <w:rsid w:val="00AF2387"/>
    <w:rsid w:val="00AF35AA"/>
    <w:rsid w:val="00AF3FDA"/>
    <w:rsid w:val="00AF43FE"/>
    <w:rsid w:val="00AF4E1C"/>
    <w:rsid w:val="00AF7AAC"/>
    <w:rsid w:val="00B0064B"/>
    <w:rsid w:val="00B008F9"/>
    <w:rsid w:val="00B00906"/>
    <w:rsid w:val="00B02437"/>
    <w:rsid w:val="00B02483"/>
    <w:rsid w:val="00B026F9"/>
    <w:rsid w:val="00B02AE3"/>
    <w:rsid w:val="00B03D5B"/>
    <w:rsid w:val="00B05395"/>
    <w:rsid w:val="00B07369"/>
    <w:rsid w:val="00B12126"/>
    <w:rsid w:val="00B136A8"/>
    <w:rsid w:val="00B15F5F"/>
    <w:rsid w:val="00B1617D"/>
    <w:rsid w:val="00B175E5"/>
    <w:rsid w:val="00B1776E"/>
    <w:rsid w:val="00B17C63"/>
    <w:rsid w:val="00B2019B"/>
    <w:rsid w:val="00B23528"/>
    <w:rsid w:val="00B2453C"/>
    <w:rsid w:val="00B24648"/>
    <w:rsid w:val="00B30F7F"/>
    <w:rsid w:val="00B31760"/>
    <w:rsid w:val="00B318D0"/>
    <w:rsid w:val="00B32E12"/>
    <w:rsid w:val="00B33DF7"/>
    <w:rsid w:val="00B34F6E"/>
    <w:rsid w:val="00B404C1"/>
    <w:rsid w:val="00B41B15"/>
    <w:rsid w:val="00B42294"/>
    <w:rsid w:val="00B435AC"/>
    <w:rsid w:val="00B47F18"/>
    <w:rsid w:val="00B570DC"/>
    <w:rsid w:val="00B579B2"/>
    <w:rsid w:val="00B63B31"/>
    <w:rsid w:val="00B6554C"/>
    <w:rsid w:val="00B66B4A"/>
    <w:rsid w:val="00B676B4"/>
    <w:rsid w:val="00B706E1"/>
    <w:rsid w:val="00B75EE6"/>
    <w:rsid w:val="00B76788"/>
    <w:rsid w:val="00B76C6F"/>
    <w:rsid w:val="00B775DF"/>
    <w:rsid w:val="00B81F49"/>
    <w:rsid w:val="00B81FB2"/>
    <w:rsid w:val="00B8245C"/>
    <w:rsid w:val="00B824D2"/>
    <w:rsid w:val="00B913C7"/>
    <w:rsid w:val="00B92DE2"/>
    <w:rsid w:val="00B935E1"/>
    <w:rsid w:val="00B943A7"/>
    <w:rsid w:val="00B94513"/>
    <w:rsid w:val="00B95842"/>
    <w:rsid w:val="00B95874"/>
    <w:rsid w:val="00B97BD4"/>
    <w:rsid w:val="00BA19E7"/>
    <w:rsid w:val="00BA1AAD"/>
    <w:rsid w:val="00BA1ECE"/>
    <w:rsid w:val="00BA3EDD"/>
    <w:rsid w:val="00BA4E60"/>
    <w:rsid w:val="00BA6493"/>
    <w:rsid w:val="00BB0ACB"/>
    <w:rsid w:val="00BB2993"/>
    <w:rsid w:val="00BB57D4"/>
    <w:rsid w:val="00BB77C6"/>
    <w:rsid w:val="00BC0D5B"/>
    <w:rsid w:val="00BC2039"/>
    <w:rsid w:val="00BC2BB3"/>
    <w:rsid w:val="00BC3665"/>
    <w:rsid w:val="00BC657F"/>
    <w:rsid w:val="00BD1850"/>
    <w:rsid w:val="00BD2136"/>
    <w:rsid w:val="00BD3808"/>
    <w:rsid w:val="00BD6054"/>
    <w:rsid w:val="00BD6B63"/>
    <w:rsid w:val="00BE566C"/>
    <w:rsid w:val="00BF1266"/>
    <w:rsid w:val="00BF3B45"/>
    <w:rsid w:val="00BF40BE"/>
    <w:rsid w:val="00BF411C"/>
    <w:rsid w:val="00BF4629"/>
    <w:rsid w:val="00BF5128"/>
    <w:rsid w:val="00C02773"/>
    <w:rsid w:val="00C06020"/>
    <w:rsid w:val="00C1130D"/>
    <w:rsid w:val="00C157B3"/>
    <w:rsid w:val="00C20C08"/>
    <w:rsid w:val="00C20D89"/>
    <w:rsid w:val="00C20DCC"/>
    <w:rsid w:val="00C21A33"/>
    <w:rsid w:val="00C278B6"/>
    <w:rsid w:val="00C27B3C"/>
    <w:rsid w:val="00C34504"/>
    <w:rsid w:val="00C35C05"/>
    <w:rsid w:val="00C418F3"/>
    <w:rsid w:val="00C41D2C"/>
    <w:rsid w:val="00C4330A"/>
    <w:rsid w:val="00C4427D"/>
    <w:rsid w:val="00C4505C"/>
    <w:rsid w:val="00C46D04"/>
    <w:rsid w:val="00C473C4"/>
    <w:rsid w:val="00C47B8C"/>
    <w:rsid w:val="00C47C9A"/>
    <w:rsid w:val="00C51A4B"/>
    <w:rsid w:val="00C53951"/>
    <w:rsid w:val="00C53B34"/>
    <w:rsid w:val="00C5460F"/>
    <w:rsid w:val="00C617FB"/>
    <w:rsid w:val="00C6183E"/>
    <w:rsid w:val="00C62E01"/>
    <w:rsid w:val="00C6395E"/>
    <w:rsid w:val="00C6526E"/>
    <w:rsid w:val="00C6606A"/>
    <w:rsid w:val="00C74F32"/>
    <w:rsid w:val="00C84841"/>
    <w:rsid w:val="00C8616F"/>
    <w:rsid w:val="00C862AC"/>
    <w:rsid w:val="00C87D23"/>
    <w:rsid w:val="00C900D3"/>
    <w:rsid w:val="00C90EEF"/>
    <w:rsid w:val="00C974F4"/>
    <w:rsid w:val="00CA2384"/>
    <w:rsid w:val="00CA2445"/>
    <w:rsid w:val="00CA25A4"/>
    <w:rsid w:val="00CA296F"/>
    <w:rsid w:val="00CA36D5"/>
    <w:rsid w:val="00CA3975"/>
    <w:rsid w:val="00CA4161"/>
    <w:rsid w:val="00CA4317"/>
    <w:rsid w:val="00CA5254"/>
    <w:rsid w:val="00CA71E8"/>
    <w:rsid w:val="00CB0051"/>
    <w:rsid w:val="00CB00F0"/>
    <w:rsid w:val="00CB140A"/>
    <w:rsid w:val="00CB1558"/>
    <w:rsid w:val="00CB45C8"/>
    <w:rsid w:val="00CB5027"/>
    <w:rsid w:val="00CB6194"/>
    <w:rsid w:val="00CC1A1D"/>
    <w:rsid w:val="00CC1D4C"/>
    <w:rsid w:val="00CC3C08"/>
    <w:rsid w:val="00CD0E70"/>
    <w:rsid w:val="00CD1A02"/>
    <w:rsid w:val="00CD1EFA"/>
    <w:rsid w:val="00CD4800"/>
    <w:rsid w:val="00CD4C77"/>
    <w:rsid w:val="00CD5C64"/>
    <w:rsid w:val="00CD7A98"/>
    <w:rsid w:val="00CE0AA0"/>
    <w:rsid w:val="00CE1277"/>
    <w:rsid w:val="00CE28F9"/>
    <w:rsid w:val="00CE32C2"/>
    <w:rsid w:val="00CE4762"/>
    <w:rsid w:val="00CE4C3E"/>
    <w:rsid w:val="00D037D6"/>
    <w:rsid w:val="00D03F02"/>
    <w:rsid w:val="00D04683"/>
    <w:rsid w:val="00D072D0"/>
    <w:rsid w:val="00D109A3"/>
    <w:rsid w:val="00D1186D"/>
    <w:rsid w:val="00D1256B"/>
    <w:rsid w:val="00D156D4"/>
    <w:rsid w:val="00D162FA"/>
    <w:rsid w:val="00D22A05"/>
    <w:rsid w:val="00D31DBD"/>
    <w:rsid w:val="00D34E4B"/>
    <w:rsid w:val="00D34EDF"/>
    <w:rsid w:val="00D352DE"/>
    <w:rsid w:val="00D36732"/>
    <w:rsid w:val="00D41435"/>
    <w:rsid w:val="00D429BC"/>
    <w:rsid w:val="00D43074"/>
    <w:rsid w:val="00D439D6"/>
    <w:rsid w:val="00D513AF"/>
    <w:rsid w:val="00D53C9F"/>
    <w:rsid w:val="00D55567"/>
    <w:rsid w:val="00D64AD4"/>
    <w:rsid w:val="00D65F9C"/>
    <w:rsid w:val="00D710E5"/>
    <w:rsid w:val="00D711D4"/>
    <w:rsid w:val="00D7402A"/>
    <w:rsid w:val="00D76706"/>
    <w:rsid w:val="00D77BDF"/>
    <w:rsid w:val="00D82B39"/>
    <w:rsid w:val="00D82F6E"/>
    <w:rsid w:val="00D84DAB"/>
    <w:rsid w:val="00D919A0"/>
    <w:rsid w:val="00D97984"/>
    <w:rsid w:val="00DA046A"/>
    <w:rsid w:val="00DA4827"/>
    <w:rsid w:val="00DA4D6F"/>
    <w:rsid w:val="00DA6933"/>
    <w:rsid w:val="00DB5212"/>
    <w:rsid w:val="00DB7301"/>
    <w:rsid w:val="00DC21DA"/>
    <w:rsid w:val="00DC2BDE"/>
    <w:rsid w:val="00DC3A32"/>
    <w:rsid w:val="00DC522D"/>
    <w:rsid w:val="00DC628C"/>
    <w:rsid w:val="00DD0376"/>
    <w:rsid w:val="00DD3F33"/>
    <w:rsid w:val="00DD7FB4"/>
    <w:rsid w:val="00DE0861"/>
    <w:rsid w:val="00DE0F6B"/>
    <w:rsid w:val="00DE140B"/>
    <w:rsid w:val="00DE36A4"/>
    <w:rsid w:val="00DE4C7E"/>
    <w:rsid w:val="00DE7646"/>
    <w:rsid w:val="00DF030E"/>
    <w:rsid w:val="00DF31BF"/>
    <w:rsid w:val="00DF35D7"/>
    <w:rsid w:val="00DF40A2"/>
    <w:rsid w:val="00DF490C"/>
    <w:rsid w:val="00E0002E"/>
    <w:rsid w:val="00E00842"/>
    <w:rsid w:val="00E020B3"/>
    <w:rsid w:val="00E0265B"/>
    <w:rsid w:val="00E057B2"/>
    <w:rsid w:val="00E1309A"/>
    <w:rsid w:val="00E304A4"/>
    <w:rsid w:val="00E3116A"/>
    <w:rsid w:val="00E33DEB"/>
    <w:rsid w:val="00E35D18"/>
    <w:rsid w:val="00E42CB5"/>
    <w:rsid w:val="00E47F08"/>
    <w:rsid w:val="00E530C7"/>
    <w:rsid w:val="00E53367"/>
    <w:rsid w:val="00E5340B"/>
    <w:rsid w:val="00E53B2E"/>
    <w:rsid w:val="00E54DF8"/>
    <w:rsid w:val="00E54FE9"/>
    <w:rsid w:val="00E64BB3"/>
    <w:rsid w:val="00E6749C"/>
    <w:rsid w:val="00E709F7"/>
    <w:rsid w:val="00E73911"/>
    <w:rsid w:val="00E76A9C"/>
    <w:rsid w:val="00E84602"/>
    <w:rsid w:val="00E8490C"/>
    <w:rsid w:val="00E84EBB"/>
    <w:rsid w:val="00E8715E"/>
    <w:rsid w:val="00E9060B"/>
    <w:rsid w:val="00E90972"/>
    <w:rsid w:val="00E90ECF"/>
    <w:rsid w:val="00E93F7D"/>
    <w:rsid w:val="00E94299"/>
    <w:rsid w:val="00E9500D"/>
    <w:rsid w:val="00EA0A68"/>
    <w:rsid w:val="00EA6D3B"/>
    <w:rsid w:val="00EB031A"/>
    <w:rsid w:val="00EB137B"/>
    <w:rsid w:val="00EB1CEE"/>
    <w:rsid w:val="00EB228C"/>
    <w:rsid w:val="00EC4373"/>
    <w:rsid w:val="00EC7116"/>
    <w:rsid w:val="00ED156B"/>
    <w:rsid w:val="00ED4435"/>
    <w:rsid w:val="00ED4AEA"/>
    <w:rsid w:val="00ED4C99"/>
    <w:rsid w:val="00ED6C49"/>
    <w:rsid w:val="00EE00E7"/>
    <w:rsid w:val="00EE022B"/>
    <w:rsid w:val="00EE0CFD"/>
    <w:rsid w:val="00EE1E9F"/>
    <w:rsid w:val="00EE7410"/>
    <w:rsid w:val="00EF01D2"/>
    <w:rsid w:val="00EF0331"/>
    <w:rsid w:val="00EF18C8"/>
    <w:rsid w:val="00EF3428"/>
    <w:rsid w:val="00EF64B0"/>
    <w:rsid w:val="00EF72BF"/>
    <w:rsid w:val="00EF7BD5"/>
    <w:rsid w:val="00F0106B"/>
    <w:rsid w:val="00F030A5"/>
    <w:rsid w:val="00F057FB"/>
    <w:rsid w:val="00F0734F"/>
    <w:rsid w:val="00F07B74"/>
    <w:rsid w:val="00F14C0A"/>
    <w:rsid w:val="00F16452"/>
    <w:rsid w:val="00F16FD6"/>
    <w:rsid w:val="00F207CF"/>
    <w:rsid w:val="00F20A0E"/>
    <w:rsid w:val="00F23731"/>
    <w:rsid w:val="00F24FD0"/>
    <w:rsid w:val="00F31693"/>
    <w:rsid w:val="00F33478"/>
    <w:rsid w:val="00F336B7"/>
    <w:rsid w:val="00F36D1B"/>
    <w:rsid w:val="00F37DBE"/>
    <w:rsid w:val="00F41487"/>
    <w:rsid w:val="00F414D3"/>
    <w:rsid w:val="00F43879"/>
    <w:rsid w:val="00F50384"/>
    <w:rsid w:val="00F505E7"/>
    <w:rsid w:val="00F5101C"/>
    <w:rsid w:val="00F535A5"/>
    <w:rsid w:val="00F543BA"/>
    <w:rsid w:val="00F54C4E"/>
    <w:rsid w:val="00F55D00"/>
    <w:rsid w:val="00F55D77"/>
    <w:rsid w:val="00F56342"/>
    <w:rsid w:val="00F56CA0"/>
    <w:rsid w:val="00F60EC2"/>
    <w:rsid w:val="00F612A5"/>
    <w:rsid w:val="00F727C4"/>
    <w:rsid w:val="00F72F10"/>
    <w:rsid w:val="00F7338F"/>
    <w:rsid w:val="00F73672"/>
    <w:rsid w:val="00F74ECC"/>
    <w:rsid w:val="00F76499"/>
    <w:rsid w:val="00F77EE2"/>
    <w:rsid w:val="00F829AA"/>
    <w:rsid w:val="00F8301E"/>
    <w:rsid w:val="00F8410F"/>
    <w:rsid w:val="00F85F3C"/>
    <w:rsid w:val="00F87BAE"/>
    <w:rsid w:val="00F87ED0"/>
    <w:rsid w:val="00F91011"/>
    <w:rsid w:val="00F9148A"/>
    <w:rsid w:val="00F92770"/>
    <w:rsid w:val="00F92897"/>
    <w:rsid w:val="00F9377A"/>
    <w:rsid w:val="00F939A4"/>
    <w:rsid w:val="00F93B7E"/>
    <w:rsid w:val="00F949D3"/>
    <w:rsid w:val="00F96155"/>
    <w:rsid w:val="00FA0821"/>
    <w:rsid w:val="00FA0BD8"/>
    <w:rsid w:val="00FA3D00"/>
    <w:rsid w:val="00FA658F"/>
    <w:rsid w:val="00FB0479"/>
    <w:rsid w:val="00FB0505"/>
    <w:rsid w:val="00FB0C24"/>
    <w:rsid w:val="00FB2687"/>
    <w:rsid w:val="00FB2B58"/>
    <w:rsid w:val="00FB2C97"/>
    <w:rsid w:val="00FB31B8"/>
    <w:rsid w:val="00FB4F83"/>
    <w:rsid w:val="00FC0839"/>
    <w:rsid w:val="00FC0DB5"/>
    <w:rsid w:val="00FC0E34"/>
    <w:rsid w:val="00FC1435"/>
    <w:rsid w:val="00FC70DF"/>
    <w:rsid w:val="00FD0B68"/>
    <w:rsid w:val="00FD4CE2"/>
    <w:rsid w:val="00FD68DF"/>
    <w:rsid w:val="00FD6E13"/>
    <w:rsid w:val="00FD79D6"/>
    <w:rsid w:val="00FE0A69"/>
    <w:rsid w:val="00FE0B32"/>
    <w:rsid w:val="00FE1019"/>
    <w:rsid w:val="00FE5455"/>
    <w:rsid w:val="00FE5B57"/>
    <w:rsid w:val="00FF0618"/>
    <w:rsid w:val="00FF1C66"/>
    <w:rsid w:val="00FF1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85263B"/>
  <w15:docId w15:val="{A2479F1C-1096-43F7-80FA-29347C9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F03"/>
    <w:pPr>
      <w:keepNext/>
      <w:keepLines/>
      <w:numPr>
        <w:numId w:val="4"/>
      </w:numPr>
      <w:spacing w:after="0" w:line="240" w:lineRule="auto"/>
      <w:outlineLvl w:val="0"/>
    </w:pPr>
    <w:rPr>
      <w:rFonts w:ascii="Calibri" w:eastAsiaTheme="majorEastAsia" w:hAnsi="Calibri" w:cstheme="majorBidi"/>
      <w:b/>
      <w:bCs/>
      <w:caps/>
    </w:rPr>
  </w:style>
  <w:style w:type="paragraph" w:styleId="Heading2">
    <w:name w:val="heading 2"/>
    <w:basedOn w:val="Normal"/>
    <w:next w:val="Normal"/>
    <w:link w:val="Heading2Char"/>
    <w:uiPriority w:val="9"/>
    <w:unhideWhenUsed/>
    <w:qFormat/>
    <w:rsid w:val="00A14CA4"/>
    <w:pPr>
      <w:keepNext/>
      <w:keepLines/>
      <w:numPr>
        <w:ilvl w:val="1"/>
        <w:numId w:val="4"/>
      </w:numPr>
      <w:spacing w:before="120" w:after="0" w:line="240" w:lineRule="auto"/>
      <w:outlineLvl w:val="1"/>
    </w:pPr>
    <w:rPr>
      <w:rFonts w:ascii="Calibri" w:eastAsiaTheme="majorEastAsia" w:hAnsi="Calibri" w:cstheme="majorBidi"/>
      <w:b/>
      <w:bCs/>
    </w:rPr>
  </w:style>
  <w:style w:type="paragraph" w:styleId="Heading3">
    <w:name w:val="heading 3"/>
    <w:basedOn w:val="Normal"/>
    <w:next w:val="Normal"/>
    <w:link w:val="Heading3Char"/>
    <w:uiPriority w:val="9"/>
    <w:unhideWhenUsed/>
    <w:qFormat/>
    <w:rsid w:val="009701B3"/>
    <w:pPr>
      <w:keepNext/>
      <w:keepLines/>
      <w:spacing w:before="120" w:after="0" w:line="240" w:lineRule="auto"/>
      <w:outlineLvl w:val="2"/>
    </w:pPr>
    <w:rPr>
      <w:rFonts w:ascii="Calibri Bold" w:eastAsiaTheme="majorEastAsia" w:hAnsi="Calibri Bold" w:cstheme="majorBidi"/>
      <w:b/>
      <w:bCs/>
    </w:rPr>
  </w:style>
  <w:style w:type="paragraph" w:styleId="Heading4">
    <w:name w:val="heading 4"/>
    <w:basedOn w:val="Normal"/>
    <w:next w:val="Normal"/>
    <w:link w:val="Heading4Char"/>
    <w:uiPriority w:val="9"/>
    <w:unhideWhenUsed/>
    <w:qFormat/>
    <w:rsid w:val="00FC0E34"/>
    <w:pPr>
      <w:keepNext/>
      <w:keepLines/>
      <w:numPr>
        <w:ilvl w:val="3"/>
        <w:numId w:val="4"/>
      </w:numPr>
      <w:spacing w:before="120" w:after="0" w:line="240" w:lineRule="auto"/>
      <w:outlineLvl w:val="3"/>
    </w:pPr>
    <w:rPr>
      <w:rFonts w:ascii="Calibri" w:eastAsiaTheme="majorEastAsia" w:hAnsi="Calibri" w:cstheme="majorBidi"/>
      <w:b/>
      <w:i/>
    </w:rPr>
  </w:style>
  <w:style w:type="paragraph" w:styleId="Heading5">
    <w:name w:val="heading 5"/>
    <w:basedOn w:val="Normal"/>
    <w:next w:val="Normal"/>
    <w:link w:val="Heading5Char"/>
    <w:uiPriority w:val="9"/>
    <w:unhideWhenUsed/>
    <w:qFormat/>
    <w:rsid w:val="00EC4373"/>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C4373"/>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4373"/>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4373"/>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4373"/>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03"/>
    <w:rPr>
      <w:rFonts w:ascii="Calibri" w:eastAsiaTheme="majorEastAsia" w:hAnsi="Calibri" w:cstheme="majorBidi"/>
      <w:b/>
      <w:bCs/>
      <w:caps/>
    </w:rPr>
  </w:style>
  <w:style w:type="character" w:customStyle="1" w:styleId="Heading2Char">
    <w:name w:val="Heading 2 Char"/>
    <w:basedOn w:val="DefaultParagraphFont"/>
    <w:link w:val="Heading2"/>
    <w:uiPriority w:val="9"/>
    <w:rsid w:val="00A14CA4"/>
    <w:rPr>
      <w:rFonts w:ascii="Calibri" w:eastAsiaTheme="majorEastAsia" w:hAnsi="Calibri" w:cstheme="majorBidi"/>
      <w:b/>
      <w:bCs/>
    </w:rPr>
  </w:style>
  <w:style w:type="character" w:customStyle="1" w:styleId="Heading3Char">
    <w:name w:val="Heading 3 Char"/>
    <w:basedOn w:val="DefaultParagraphFont"/>
    <w:link w:val="Heading3"/>
    <w:uiPriority w:val="9"/>
    <w:rsid w:val="009701B3"/>
    <w:rPr>
      <w:rFonts w:ascii="Calibri Bold" w:eastAsiaTheme="majorEastAsia" w:hAnsi="Calibri Bold" w:cstheme="majorBidi"/>
      <w:b/>
      <w:bC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8"/>
      <w:szCs w:val="28"/>
    </w:rPr>
  </w:style>
  <w:style w:type="paragraph" w:styleId="ListParagraph">
    <w:name w:val="List Paragraph"/>
    <w:basedOn w:val="Normal"/>
    <w:link w:val="ListParagraphChar"/>
    <w:uiPriority w:val="34"/>
    <w:qFormat/>
    <w:pPr>
      <w:ind w:left="720"/>
      <w:contextualSpacing/>
    </w:p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character" w:styleId="IntenseEmphasis">
    <w:name w:val="Intense Emphasis"/>
    <w:basedOn w:val="DefaultParagraphFont"/>
    <w:uiPriority w:val="21"/>
    <w:qFormat/>
    <w:rPr>
      <w:b/>
      <w:bCs/>
      <w:i/>
      <w:iCs/>
    </w:rPr>
  </w:style>
  <w:style w:type="paragraph" w:styleId="IntenseQuote">
    <w:name w:val="Intense Quote"/>
    <w:basedOn w:val="Normal"/>
    <w:next w:val="Normal"/>
    <w:link w:val="IntenseQuoteChar"/>
    <w:uiPriority w:val="30"/>
    <w:qFormat/>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customStyle="1" w:styleId="Heading4Char">
    <w:name w:val="Heading 4 Char"/>
    <w:basedOn w:val="DefaultParagraphFont"/>
    <w:link w:val="Heading4"/>
    <w:uiPriority w:val="9"/>
    <w:rsid w:val="00FC0E34"/>
    <w:rPr>
      <w:rFonts w:ascii="Calibri" w:eastAsiaTheme="majorEastAsia" w:hAnsi="Calibri" w:cstheme="majorBidi"/>
      <w:b/>
      <w:i/>
    </w:rPr>
  </w:style>
  <w:style w:type="character" w:customStyle="1" w:styleId="Heading5Char">
    <w:name w:val="Heading 5 Char"/>
    <w:basedOn w:val="DefaultParagraphFont"/>
    <w:link w:val="Heading5"/>
    <w:uiPriority w:val="9"/>
    <w:rsid w:val="00EC437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C437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437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437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4373"/>
    <w:rPr>
      <w:rFonts w:asciiTheme="majorHAnsi" w:eastAsiaTheme="majorEastAsia" w:hAnsiTheme="majorHAnsi" w:cstheme="majorBidi"/>
      <w:b/>
      <w:bCs/>
      <w:i/>
      <w:iCs/>
      <w:caps/>
      <w:color w:val="7F7F7F" w:themeColor="text1" w:themeTint="80"/>
      <w:sz w:val="20"/>
      <w:szCs w:val="20"/>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smallCaps/>
      <w:spacing w:val="7"/>
    </w:rPr>
  </w:style>
  <w:style w:type="paragraph" w:styleId="Caption">
    <w:name w:val="caption"/>
    <w:basedOn w:val="Normal"/>
    <w:next w:val="Normal"/>
    <w:uiPriority w:val="35"/>
    <w:unhideWhenUsed/>
    <w:qFormat/>
    <w:pPr>
      <w:spacing w:line="240" w:lineRule="auto"/>
    </w:pPr>
    <w:rPr>
      <w:b/>
      <w:bCs/>
      <w:smallCaps/>
      <w:color w:val="595959" w:themeColor="text1" w:themeTint="A6"/>
    </w:rPr>
  </w:style>
  <w:style w:type="character" w:styleId="IntenseReference">
    <w:name w:val="Intense Reference"/>
    <w:basedOn w:val="DefaultParagraphFont"/>
    <w:uiPriority w:val="32"/>
    <w:qFormat/>
    <w:rPr>
      <w:b/>
      <w:bCs/>
      <w:caps w:val="0"/>
      <w:smallCaps/>
      <w:color w:val="auto"/>
      <w:spacing w:val="3"/>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rsid w:val="00ED4435"/>
    <w:pPr>
      <w:spacing w:after="100"/>
    </w:pPr>
  </w:style>
  <w:style w:type="character" w:styleId="Hyperlink">
    <w:name w:val="Hyperlink"/>
    <w:basedOn w:val="DefaultParagraphFont"/>
    <w:uiPriority w:val="99"/>
    <w:unhideWhenUsed/>
    <w:rsid w:val="00ED4435"/>
    <w:rPr>
      <w:color w:val="2998E3" w:themeColor="hyperlink"/>
      <w:u w:val="single"/>
    </w:rPr>
  </w:style>
  <w:style w:type="paragraph" w:styleId="BalloonText">
    <w:name w:val="Balloon Text"/>
    <w:basedOn w:val="Normal"/>
    <w:link w:val="BalloonTextChar"/>
    <w:uiPriority w:val="99"/>
    <w:semiHidden/>
    <w:unhideWhenUsed/>
    <w:rsid w:val="00ED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35"/>
    <w:rPr>
      <w:rFonts w:ascii="Segoe UI" w:hAnsi="Segoe UI" w:cs="Segoe UI"/>
      <w:sz w:val="18"/>
      <w:szCs w:val="18"/>
    </w:rPr>
  </w:style>
  <w:style w:type="character" w:styleId="CommentReference">
    <w:name w:val="annotation reference"/>
    <w:basedOn w:val="DefaultParagraphFont"/>
    <w:uiPriority w:val="99"/>
    <w:unhideWhenUsed/>
    <w:rsid w:val="008D1500"/>
    <w:rPr>
      <w:sz w:val="16"/>
      <w:szCs w:val="16"/>
    </w:rPr>
  </w:style>
  <w:style w:type="paragraph" w:styleId="CommentText">
    <w:name w:val="annotation text"/>
    <w:basedOn w:val="Normal"/>
    <w:link w:val="CommentTextChar"/>
    <w:uiPriority w:val="99"/>
    <w:unhideWhenUsed/>
    <w:rsid w:val="008D1500"/>
    <w:pPr>
      <w:spacing w:line="240" w:lineRule="auto"/>
    </w:pPr>
    <w:rPr>
      <w:sz w:val="20"/>
      <w:szCs w:val="20"/>
    </w:rPr>
  </w:style>
  <w:style w:type="character" w:customStyle="1" w:styleId="CommentTextChar">
    <w:name w:val="Comment Text Char"/>
    <w:basedOn w:val="DefaultParagraphFont"/>
    <w:link w:val="CommentText"/>
    <w:uiPriority w:val="99"/>
    <w:rsid w:val="008D1500"/>
    <w:rPr>
      <w:sz w:val="20"/>
      <w:szCs w:val="20"/>
    </w:rPr>
  </w:style>
  <w:style w:type="paragraph" w:styleId="CommentSubject">
    <w:name w:val="annotation subject"/>
    <w:basedOn w:val="CommentText"/>
    <w:next w:val="CommentText"/>
    <w:link w:val="CommentSubjectChar"/>
    <w:uiPriority w:val="99"/>
    <w:semiHidden/>
    <w:unhideWhenUsed/>
    <w:rsid w:val="008D1500"/>
    <w:rPr>
      <w:b/>
      <w:bCs/>
    </w:rPr>
  </w:style>
  <w:style w:type="character" w:customStyle="1" w:styleId="CommentSubjectChar">
    <w:name w:val="Comment Subject Char"/>
    <w:basedOn w:val="CommentTextChar"/>
    <w:link w:val="CommentSubject"/>
    <w:uiPriority w:val="99"/>
    <w:semiHidden/>
    <w:rsid w:val="008D1500"/>
    <w:rPr>
      <w:b/>
      <w:bCs/>
      <w:sz w:val="20"/>
      <w:szCs w:val="20"/>
    </w:rPr>
  </w:style>
  <w:style w:type="paragraph" w:styleId="TOC2">
    <w:name w:val="toc 2"/>
    <w:basedOn w:val="Normal"/>
    <w:next w:val="Normal"/>
    <w:autoRedefine/>
    <w:uiPriority w:val="39"/>
    <w:unhideWhenUsed/>
    <w:rsid w:val="00735D16"/>
    <w:pPr>
      <w:spacing w:after="100"/>
      <w:ind w:left="220"/>
    </w:pPr>
  </w:style>
  <w:style w:type="paragraph" w:styleId="TOC3">
    <w:name w:val="toc 3"/>
    <w:basedOn w:val="Normal"/>
    <w:next w:val="Normal"/>
    <w:autoRedefine/>
    <w:uiPriority w:val="39"/>
    <w:unhideWhenUsed/>
    <w:rsid w:val="00735D16"/>
    <w:pPr>
      <w:spacing w:after="100"/>
      <w:ind w:left="440"/>
    </w:pPr>
  </w:style>
  <w:style w:type="paragraph" w:styleId="FootnoteText">
    <w:name w:val="footnote text"/>
    <w:basedOn w:val="Normal"/>
    <w:link w:val="FootnoteTextChar"/>
    <w:uiPriority w:val="99"/>
    <w:unhideWhenUsed/>
    <w:rsid w:val="0089622C"/>
    <w:pPr>
      <w:spacing w:after="0" w:line="240" w:lineRule="auto"/>
    </w:pPr>
    <w:rPr>
      <w:sz w:val="20"/>
      <w:szCs w:val="20"/>
    </w:rPr>
  </w:style>
  <w:style w:type="character" w:customStyle="1" w:styleId="FootnoteTextChar">
    <w:name w:val="Footnote Text Char"/>
    <w:basedOn w:val="DefaultParagraphFont"/>
    <w:link w:val="FootnoteText"/>
    <w:uiPriority w:val="99"/>
    <w:rsid w:val="0089622C"/>
    <w:rPr>
      <w:sz w:val="20"/>
      <w:szCs w:val="20"/>
    </w:rPr>
  </w:style>
  <w:style w:type="character" w:styleId="FootnoteReference">
    <w:name w:val="footnote reference"/>
    <w:basedOn w:val="DefaultParagraphFont"/>
    <w:uiPriority w:val="99"/>
    <w:unhideWhenUsed/>
    <w:rsid w:val="0089622C"/>
    <w:rPr>
      <w:vertAlign w:val="superscript"/>
    </w:rPr>
  </w:style>
  <w:style w:type="paragraph" w:styleId="EndnoteText">
    <w:name w:val="endnote text"/>
    <w:basedOn w:val="Normal"/>
    <w:link w:val="EndnoteTextChar"/>
    <w:uiPriority w:val="99"/>
    <w:semiHidden/>
    <w:unhideWhenUsed/>
    <w:rsid w:val="002720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01D"/>
    <w:rPr>
      <w:sz w:val="20"/>
      <w:szCs w:val="20"/>
    </w:rPr>
  </w:style>
  <w:style w:type="character" w:styleId="EndnoteReference">
    <w:name w:val="endnote reference"/>
    <w:basedOn w:val="DefaultParagraphFont"/>
    <w:uiPriority w:val="99"/>
    <w:semiHidden/>
    <w:unhideWhenUsed/>
    <w:rsid w:val="0027201D"/>
    <w:rPr>
      <w:vertAlign w:val="superscript"/>
    </w:rPr>
  </w:style>
  <w:style w:type="character" w:styleId="PlaceholderText">
    <w:name w:val="Placeholder Text"/>
    <w:basedOn w:val="DefaultParagraphFont"/>
    <w:uiPriority w:val="99"/>
    <w:semiHidden/>
    <w:rsid w:val="009833F8"/>
    <w:rPr>
      <w:color w:val="808080"/>
    </w:rPr>
  </w:style>
  <w:style w:type="paragraph" w:styleId="BodyText">
    <w:name w:val="Body Text"/>
    <w:basedOn w:val="Normal"/>
    <w:link w:val="BodyTextChar"/>
    <w:uiPriority w:val="99"/>
    <w:rsid w:val="001758DD"/>
    <w:pPr>
      <w:spacing w:after="120" w:line="276" w:lineRule="auto"/>
    </w:pPr>
    <w:rPr>
      <w:rFonts w:ascii="Calibri" w:eastAsia="Calibri" w:hAnsi="Calibri" w:cs="Times New Roman"/>
      <w:lang w:eastAsia="en-US"/>
    </w:rPr>
  </w:style>
  <w:style w:type="character" w:customStyle="1" w:styleId="BodyTextChar">
    <w:name w:val="Body Text Char"/>
    <w:basedOn w:val="DefaultParagraphFont"/>
    <w:link w:val="BodyText"/>
    <w:uiPriority w:val="99"/>
    <w:rsid w:val="001758DD"/>
    <w:rPr>
      <w:rFonts w:ascii="Calibri" w:eastAsia="Calibri" w:hAnsi="Calibri" w:cs="Times New Roman"/>
      <w:lang w:eastAsia="en-US"/>
    </w:rPr>
  </w:style>
  <w:style w:type="paragraph" w:styleId="Header">
    <w:name w:val="header"/>
    <w:basedOn w:val="Normal"/>
    <w:link w:val="HeaderChar"/>
    <w:uiPriority w:val="99"/>
    <w:unhideWhenUsed/>
    <w:rsid w:val="0060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C8"/>
  </w:style>
  <w:style w:type="paragraph" w:styleId="Footer">
    <w:name w:val="footer"/>
    <w:basedOn w:val="Normal"/>
    <w:link w:val="FooterChar"/>
    <w:uiPriority w:val="99"/>
    <w:unhideWhenUsed/>
    <w:rsid w:val="0060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C8"/>
  </w:style>
  <w:style w:type="paragraph" w:styleId="Revision">
    <w:name w:val="Revision"/>
    <w:hidden/>
    <w:uiPriority w:val="99"/>
    <w:semiHidden/>
    <w:rsid w:val="008D19B3"/>
    <w:pPr>
      <w:spacing w:after="0" w:line="240" w:lineRule="auto"/>
    </w:pPr>
  </w:style>
  <w:style w:type="character" w:customStyle="1" w:styleId="ListParagraphChar">
    <w:name w:val="List Paragraph Char"/>
    <w:basedOn w:val="DefaultParagraphFont"/>
    <w:link w:val="ListParagraph"/>
    <w:uiPriority w:val="34"/>
    <w:locked/>
    <w:rsid w:val="009F7957"/>
  </w:style>
  <w:style w:type="paragraph" w:styleId="DocumentMap">
    <w:name w:val="Document Map"/>
    <w:basedOn w:val="Normal"/>
    <w:link w:val="DocumentMapChar"/>
    <w:uiPriority w:val="99"/>
    <w:semiHidden/>
    <w:unhideWhenUsed/>
    <w:rsid w:val="00857F5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F5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9364332">
      <w:bodyDiv w:val="1"/>
      <w:marLeft w:val="0"/>
      <w:marRight w:val="0"/>
      <w:marTop w:val="0"/>
      <w:marBottom w:val="0"/>
      <w:divBdr>
        <w:top w:val="none" w:sz="0" w:space="0" w:color="auto"/>
        <w:left w:val="none" w:sz="0" w:space="0" w:color="auto"/>
        <w:bottom w:val="none" w:sz="0" w:space="0" w:color="auto"/>
        <w:right w:val="none" w:sz="0" w:space="0" w:color="auto"/>
      </w:divBdr>
    </w:div>
    <w:div w:id="276064825">
      <w:bodyDiv w:val="1"/>
      <w:marLeft w:val="0"/>
      <w:marRight w:val="0"/>
      <w:marTop w:val="0"/>
      <w:marBottom w:val="0"/>
      <w:divBdr>
        <w:top w:val="none" w:sz="0" w:space="0" w:color="auto"/>
        <w:left w:val="none" w:sz="0" w:space="0" w:color="auto"/>
        <w:bottom w:val="none" w:sz="0" w:space="0" w:color="auto"/>
        <w:right w:val="none" w:sz="0" w:space="0" w:color="auto"/>
      </w:divBdr>
    </w:div>
    <w:div w:id="326713543">
      <w:bodyDiv w:val="1"/>
      <w:marLeft w:val="0"/>
      <w:marRight w:val="0"/>
      <w:marTop w:val="0"/>
      <w:marBottom w:val="0"/>
      <w:divBdr>
        <w:top w:val="none" w:sz="0" w:space="0" w:color="auto"/>
        <w:left w:val="none" w:sz="0" w:space="0" w:color="auto"/>
        <w:bottom w:val="none" w:sz="0" w:space="0" w:color="auto"/>
        <w:right w:val="none" w:sz="0" w:space="0" w:color="auto"/>
      </w:divBdr>
    </w:div>
    <w:div w:id="51264604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3920839">
      <w:bodyDiv w:val="1"/>
      <w:marLeft w:val="0"/>
      <w:marRight w:val="0"/>
      <w:marTop w:val="0"/>
      <w:marBottom w:val="0"/>
      <w:divBdr>
        <w:top w:val="none" w:sz="0" w:space="0" w:color="auto"/>
        <w:left w:val="none" w:sz="0" w:space="0" w:color="auto"/>
        <w:bottom w:val="none" w:sz="0" w:space="0" w:color="auto"/>
        <w:right w:val="none" w:sz="0" w:space="0" w:color="auto"/>
      </w:divBdr>
    </w:div>
    <w:div w:id="798304834">
      <w:bodyDiv w:val="1"/>
      <w:marLeft w:val="0"/>
      <w:marRight w:val="0"/>
      <w:marTop w:val="0"/>
      <w:marBottom w:val="0"/>
      <w:divBdr>
        <w:top w:val="none" w:sz="0" w:space="0" w:color="auto"/>
        <w:left w:val="none" w:sz="0" w:space="0" w:color="auto"/>
        <w:bottom w:val="none" w:sz="0" w:space="0" w:color="auto"/>
        <w:right w:val="none" w:sz="0" w:space="0" w:color="auto"/>
      </w:divBdr>
    </w:div>
    <w:div w:id="81028739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1842297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38683836">
      <w:bodyDiv w:val="1"/>
      <w:marLeft w:val="0"/>
      <w:marRight w:val="0"/>
      <w:marTop w:val="0"/>
      <w:marBottom w:val="0"/>
      <w:divBdr>
        <w:top w:val="none" w:sz="0" w:space="0" w:color="auto"/>
        <w:left w:val="none" w:sz="0" w:space="0" w:color="auto"/>
        <w:bottom w:val="none" w:sz="0" w:space="0" w:color="auto"/>
        <w:right w:val="none" w:sz="0" w:space="0" w:color="auto"/>
      </w:divBdr>
    </w:div>
    <w:div w:id="18255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onflictfreesmelter.org/documents/AuditProcedure_SnTa.pdf" TargetMode="External"/><Relationship Id="rId26" Type="http://schemas.openxmlformats.org/officeDocument/2006/relationships/hyperlink" Target="http://www.un.org/sc/committees/1533/egroupguidelines.shtml" TargetMode="External"/><Relationship Id="rId3" Type="http://schemas.openxmlformats.org/officeDocument/2006/relationships/customXml" Target="../customXml/item3.xml"/><Relationship Id="rId21" Type="http://schemas.openxmlformats.org/officeDocument/2006/relationships/hyperlink" Target="http://www.conflictfreesmelter.org/documents/AuditChecklist_SnTa.docx"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sec.gov/rules/final/2012/34-67716.pdf" TargetMode="External"/><Relationship Id="rId25" Type="http://schemas.openxmlformats.org/officeDocument/2006/relationships/hyperlink" Target="http://www.sec.gov/rules/final/2012/34-67716.pdf" TargetMode="External"/><Relationship Id="rId2" Type="http://schemas.openxmlformats.org/officeDocument/2006/relationships/customXml" Target="../customXml/item2.xml"/><Relationship Id="rId16" Type="http://schemas.openxmlformats.org/officeDocument/2006/relationships/hyperlink" Target="http://www.oecd.org/daf/inv/mne/GuidanceEdition2.pdf" TargetMode="External"/><Relationship Id="rId20" Type="http://schemas.openxmlformats.org/officeDocument/2006/relationships/hyperlink" Target="http://www.conflictfreesmelter.org/documents/CompanyPreAuditChecklist_SnTa.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sec.gov/about/laws/wallstreetreform-cpa.pdf" TargetMode="External"/><Relationship Id="rId5" Type="http://schemas.openxmlformats.org/officeDocument/2006/relationships/styles" Target="styles.xml"/><Relationship Id="rId15" Type="http://schemas.openxmlformats.org/officeDocument/2006/relationships/hyperlink" Target="http://www.sec.gov/about/laws/wallstreetreform-cpa.pdf" TargetMode="External"/><Relationship Id="rId23" Type="http://schemas.openxmlformats.org/officeDocument/2006/relationships/hyperlink" Target="http://www.oecd.org/daf/inv/mne/GuidanceEdition2.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flictfreesmelter.org/documents/LineItemSummary_SnTa.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conflictfreesmelter.org/documents/AECI_AA.zi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Refining" TargetMode="External"/><Relationship Id="rId1" Type="http://schemas.openxmlformats.org/officeDocument/2006/relationships/hyperlink" Target="http://www.oecd.org/daf/inv/mne/GuidanceEdition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uran\AppData\Roaming\Microsoft\Templates\Retrospect%20design%20(blank).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A93D56AD-FFD5-4DA8-99B3-4BCBA9D53D97}">
  <ds:schemaRefs>
    <ds:schemaRef ds:uri="http://schemas.microsoft.com/sharepoint/v3/contenttype/forms"/>
  </ds:schemaRefs>
</ds:datastoreItem>
</file>

<file path=customXml/itemProps2.xml><?xml version="1.0" encoding="utf-8"?>
<ds:datastoreItem xmlns:ds="http://schemas.openxmlformats.org/officeDocument/2006/customXml" ds:itemID="{D136BFA3-51FB-42D3-9CFB-89E3823DEFF0}">
  <ds:schemaRefs>
    <ds:schemaRef ds:uri="http://schemas.openxmlformats.org/officeDocument/2006/bibliography"/>
  </ds:schemaRefs>
</ds:datastoreItem>
</file>

<file path=customXml/itemProps3.xml><?xml version="1.0" encoding="utf-8"?>
<ds:datastoreItem xmlns:ds="http://schemas.openxmlformats.org/officeDocument/2006/customXml" ds:itemID="{4CD9E39F-ED95-401E-B03C-C8062462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Retrospect design (blank).dotx</Template>
  <TotalTime>25</TotalTime>
  <Pages>46</Pages>
  <Words>12773</Words>
  <Characters>72811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crduran</dc:creator>
  <cp:lastModifiedBy>Hillary Amster</cp:lastModifiedBy>
  <cp:revision>10</cp:revision>
  <cp:lastPrinted>2013-11-21T15:06:00Z</cp:lastPrinted>
  <dcterms:created xsi:type="dcterms:W3CDTF">2016-05-10T22:21:00Z</dcterms:created>
  <dcterms:modified xsi:type="dcterms:W3CDTF">2016-05-12T10:14:00Z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TC037500879991</vt:lpwstr>
  </property>
</Properties>
</file>